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386" w:rsidRDefault="00774593" w:rsidP="006F0386">
      <w:pPr>
        <w:jc w:val="center"/>
        <w:rPr>
          <w:rFonts w:cs="Arial"/>
          <w:b/>
          <w:lang w:val="fr-BE"/>
        </w:rPr>
      </w:pPr>
      <w:r>
        <w:rPr>
          <w:rFonts w:cs="Arial"/>
          <w:b/>
          <w:lang w:val="fr-BE"/>
        </w:rPr>
        <w:t xml:space="preserve">1090000 </w:t>
      </w:r>
      <w:r w:rsidRPr="00C42697">
        <w:rPr>
          <w:rFonts w:cs="Arial"/>
          <w:b/>
          <w:lang w:val="fr-BE"/>
        </w:rPr>
        <w:t>Commission paritaire de l'industrie de l'habillement et</w:t>
      </w:r>
    </w:p>
    <w:p w:rsidR="00774593" w:rsidRPr="00C42697" w:rsidRDefault="00774593" w:rsidP="006F0386">
      <w:pPr>
        <w:jc w:val="center"/>
        <w:rPr>
          <w:rFonts w:cs="Arial"/>
          <w:b/>
          <w:lang w:val="fr-BE"/>
        </w:rPr>
      </w:pPr>
      <w:proofErr w:type="gramStart"/>
      <w:r w:rsidRPr="00C42697">
        <w:rPr>
          <w:rFonts w:cs="Arial"/>
          <w:b/>
          <w:lang w:val="fr-BE"/>
        </w:rPr>
        <w:t>de</w:t>
      </w:r>
      <w:proofErr w:type="gramEnd"/>
      <w:r w:rsidRPr="00C42697">
        <w:rPr>
          <w:rFonts w:cs="Arial"/>
          <w:b/>
          <w:lang w:val="fr-BE"/>
        </w:rPr>
        <w:t xml:space="preserve"> la confection</w:t>
      </w:r>
    </w:p>
    <w:p w:rsidR="00701E44" w:rsidRDefault="00701E44" w:rsidP="00561996">
      <w:pPr>
        <w:tabs>
          <w:tab w:val="left" w:pos="0"/>
        </w:tabs>
        <w:rPr>
          <w:rFonts w:cs="Arial"/>
          <w:b/>
          <w:bCs/>
          <w:u w:val="single"/>
          <w:lang w:val="fr-FR"/>
        </w:rPr>
      </w:pPr>
    </w:p>
    <w:p w:rsidR="00A50C16" w:rsidRDefault="00A50C16" w:rsidP="00561996">
      <w:pPr>
        <w:tabs>
          <w:tab w:val="left" w:pos="0"/>
        </w:tabs>
        <w:rPr>
          <w:rFonts w:cs="Arial"/>
          <w:b/>
          <w:bCs/>
          <w:u w:val="single"/>
          <w:lang w:val="fr-FR"/>
        </w:rPr>
      </w:pPr>
    </w:p>
    <w:p w:rsidR="00555880" w:rsidRDefault="00A50C16">
      <w:pPr>
        <w:pStyle w:val="Inhopg1"/>
        <w:rPr>
          <w:rFonts w:asciiTheme="minorHAnsi" w:eastAsiaTheme="minorEastAsia" w:hAnsiTheme="minorHAnsi" w:cstheme="minorBidi"/>
          <w:b w:val="0"/>
          <w:sz w:val="22"/>
          <w:szCs w:val="22"/>
          <w:lang w:val="nl-BE" w:eastAsia="nl-BE"/>
        </w:rPr>
      </w:pPr>
      <w:r>
        <w:fldChar w:fldCharType="begin"/>
      </w:r>
      <w:r>
        <w:instrText xml:space="preserve"> TOC \o "1-3" \h \z \u </w:instrText>
      </w:r>
      <w:r>
        <w:fldChar w:fldCharType="separate"/>
      </w:r>
      <w:hyperlink w:anchor="_Toc25654203" w:history="1">
        <w:r w:rsidR="00555880" w:rsidRPr="004E0B7B">
          <w:rPr>
            <w:rStyle w:val="Hyperlink"/>
          </w:rPr>
          <w:t>Allocation complémentaire au double pécule de vacances</w:t>
        </w:r>
        <w:r w:rsidR="00555880">
          <w:rPr>
            <w:webHidden/>
          </w:rPr>
          <w:tab/>
        </w:r>
        <w:r w:rsidR="00555880">
          <w:rPr>
            <w:webHidden/>
          </w:rPr>
          <w:fldChar w:fldCharType="begin"/>
        </w:r>
        <w:r w:rsidR="00555880">
          <w:rPr>
            <w:webHidden/>
          </w:rPr>
          <w:instrText xml:space="preserve"> PAGEREF _Toc25654203 \h </w:instrText>
        </w:r>
        <w:r w:rsidR="00555880">
          <w:rPr>
            <w:webHidden/>
          </w:rPr>
        </w:r>
        <w:r w:rsidR="00555880">
          <w:rPr>
            <w:webHidden/>
          </w:rPr>
          <w:fldChar w:fldCharType="separate"/>
        </w:r>
        <w:r w:rsidR="00555880">
          <w:rPr>
            <w:webHidden/>
          </w:rPr>
          <w:t>1</w:t>
        </w:r>
        <w:r w:rsidR="00555880">
          <w:rPr>
            <w:webHidden/>
          </w:rPr>
          <w:fldChar w:fldCharType="end"/>
        </w:r>
      </w:hyperlink>
    </w:p>
    <w:p w:rsidR="00555880" w:rsidRDefault="00707CC4">
      <w:pPr>
        <w:pStyle w:val="Inhopg1"/>
        <w:rPr>
          <w:rFonts w:asciiTheme="minorHAnsi" w:eastAsiaTheme="minorEastAsia" w:hAnsiTheme="minorHAnsi" w:cstheme="minorBidi"/>
          <w:b w:val="0"/>
          <w:sz w:val="22"/>
          <w:szCs w:val="22"/>
          <w:lang w:val="nl-BE" w:eastAsia="nl-BE"/>
        </w:rPr>
      </w:pPr>
      <w:hyperlink w:anchor="_Toc25654204" w:history="1">
        <w:r w:rsidR="00555880" w:rsidRPr="004E0B7B">
          <w:rPr>
            <w:rStyle w:val="Hyperlink"/>
          </w:rPr>
          <w:t>Chèques-repas</w:t>
        </w:r>
        <w:r w:rsidR="00555880">
          <w:rPr>
            <w:webHidden/>
          </w:rPr>
          <w:tab/>
        </w:r>
        <w:r w:rsidR="00555880">
          <w:rPr>
            <w:webHidden/>
          </w:rPr>
          <w:fldChar w:fldCharType="begin"/>
        </w:r>
        <w:r w:rsidR="00555880">
          <w:rPr>
            <w:webHidden/>
          </w:rPr>
          <w:instrText xml:space="preserve"> PAGEREF _Toc25654204 \h </w:instrText>
        </w:r>
        <w:r w:rsidR="00555880">
          <w:rPr>
            <w:webHidden/>
          </w:rPr>
        </w:r>
        <w:r w:rsidR="00555880">
          <w:rPr>
            <w:webHidden/>
          </w:rPr>
          <w:fldChar w:fldCharType="separate"/>
        </w:r>
        <w:r w:rsidR="00555880">
          <w:rPr>
            <w:webHidden/>
          </w:rPr>
          <w:t>3</w:t>
        </w:r>
        <w:r w:rsidR="00555880">
          <w:rPr>
            <w:webHidden/>
          </w:rPr>
          <w:fldChar w:fldCharType="end"/>
        </w:r>
      </w:hyperlink>
    </w:p>
    <w:p w:rsidR="00555880" w:rsidRDefault="00707CC4">
      <w:pPr>
        <w:pStyle w:val="Inhopg1"/>
        <w:rPr>
          <w:rFonts w:asciiTheme="minorHAnsi" w:eastAsiaTheme="minorEastAsia" w:hAnsiTheme="minorHAnsi" w:cstheme="minorBidi"/>
          <w:b w:val="0"/>
          <w:sz w:val="22"/>
          <w:szCs w:val="22"/>
          <w:lang w:val="nl-BE" w:eastAsia="nl-BE"/>
        </w:rPr>
      </w:pPr>
      <w:hyperlink w:anchor="_Toc25654205" w:history="1">
        <w:r w:rsidR="00555880" w:rsidRPr="004E0B7B">
          <w:rPr>
            <w:rStyle w:val="Hyperlink"/>
          </w:rPr>
          <w:t>CCT du 26 juin 2019 (153.297)</w:t>
        </w:r>
        <w:r w:rsidR="00555880">
          <w:rPr>
            <w:webHidden/>
          </w:rPr>
          <w:tab/>
        </w:r>
        <w:r w:rsidR="00555880">
          <w:rPr>
            <w:webHidden/>
          </w:rPr>
          <w:fldChar w:fldCharType="begin"/>
        </w:r>
        <w:r w:rsidR="00555880">
          <w:rPr>
            <w:webHidden/>
          </w:rPr>
          <w:instrText xml:space="preserve"> PAGEREF _Toc25654205 \h </w:instrText>
        </w:r>
        <w:r w:rsidR="00555880">
          <w:rPr>
            <w:webHidden/>
          </w:rPr>
        </w:r>
        <w:r w:rsidR="00555880">
          <w:rPr>
            <w:webHidden/>
          </w:rPr>
          <w:fldChar w:fldCharType="separate"/>
        </w:r>
        <w:r w:rsidR="00555880">
          <w:rPr>
            <w:webHidden/>
          </w:rPr>
          <w:t>4</w:t>
        </w:r>
        <w:r w:rsidR="00555880">
          <w:rPr>
            <w:webHidden/>
          </w:rPr>
          <w:fldChar w:fldCharType="end"/>
        </w:r>
      </w:hyperlink>
    </w:p>
    <w:p w:rsidR="00555880" w:rsidRDefault="00707CC4">
      <w:pPr>
        <w:pStyle w:val="Inhopg1"/>
        <w:rPr>
          <w:rFonts w:asciiTheme="minorHAnsi" w:eastAsiaTheme="minorEastAsia" w:hAnsiTheme="minorHAnsi" w:cstheme="minorBidi"/>
          <w:b w:val="0"/>
          <w:sz w:val="22"/>
          <w:szCs w:val="22"/>
          <w:lang w:val="nl-BE" w:eastAsia="nl-BE"/>
        </w:rPr>
      </w:pPr>
      <w:hyperlink w:anchor="_Toc25654206" w:history="1">
        <w:r w:rsidR="00555880" w:rsidRPr="004E0B7B">
          <w:rPr>
            <w:rStyle w:val="Hyperlink"/>
          </w:rPr>
          <w:t>Assurance hospitalisation</w:t>
        </w:r>
        <w:r w:rsidR="00555880">
          <w:rPr>
            <w:webHidden/>
          </w:rPr>
          <w:tab/>
        </w:r>
        <w:r w:rsidR="00555880">
          <w:rPr>
            <w:webHidden/>
          </w:rPr>
          <w:fldChar w:fldCharType="begin"/>
        </w:r>
        <w:r w:rsidR="00555880">
          <w:rPr>
            <w:webHidden/>
          </w:rPr>
          <w:instrText xml:space="preserve"> PAGEREF _Toc25654206 \h </w:instrText>
        </w:r>
        <w:r w:rsidR="00555880">
          <w:rPr>
            <w:webHidden/>
          </w:rPr>
        </w:r>
        <w:r w:rsidR="00555880">
          <w:rPr>
            <w:webHidden/>
          </w:rPr>
          <w:fldChar w:fldCharType="separate"/>
        </w:r>
        <w:r w:rsidR="00555880">
          <w:rPr>
            <w:webHidden/>
          </w:rPr>
          <w:t>4</w:t>
        </w:r>
        <w:r w:rsidR="00555880">
          <w:rPr>
            <w:webHidden/>
          </w:rPr>
          <w:fldChar w:fldCharType="end"/>
        </w:r>
      </w:hyperlink>
    </w:p>
    <w:p w:rsidR="00555880" w:rsidRDefault="00707CC4">
      <w:pPr>
        <w:pStyle w:val="Inhopg1"/>
        <w:rPr>
          <w:rFonts w:asciiTheme="minorHAnsi" w:eastAsiaTheme="minorEastAsia" w:hAnsiTheme="minorHAnsi" w:cstheme="minorBidi"/>
          <w:b w:val="0"/>
          <w:sz w:val="22"/>
          <w:szCs w:val="22"/>
          <w:lang w:val="nl-BE" w:eastAsia="nl-BE"/>
        </w:rPr>
      </w:pPr>
      <w:hyperlink w:anchor="_Toc25654207" w:history="1">
        <w:r w:rsidR="00555880" w:rsidRPr="004E0B7B">
          <w:rPr>
            <w:rStyle w:val="Hyperlink"/>
          </w:rPr>
          <w:t>CCT du 26 juin 2019 (153.297)</w:t>
        </w:r>
        <w:r w:rsidR="00555880">
          <w:rPr>
            <w:webHidden/>
          </w:rPr>
          <w:tab/>
        </w:r>
        <w:r w:rsidR="00555880">
          <w:rPr>
            <w:webHidden/>
          </w:rPr>
          <w:fldChar w:fldCharType="begin"/>
        </w:r>
        <w:r w:rsidR="00555880">
          <w:rPr>
            <w:webHidden/>
          </w:rPr>
          <w:instrText xml:space="preserve"> PAGEREF _Toc25654207 \h </w:instrText>
        </w:r>
        <w:r w:rsidR="00555880">
          <w:rPr>
            <w:webHidden/>
          </w:rPr>
        </w:r>
        <w:r w:rsidR="00555880">
          <w:rPr>
            <w:webHidden/>
          </w:rPr>
          <w:fldChar w:fldCharType="separate"/>
        </w:r>
        <w:r w:rsidR="00555880">
          <w:rPr>
            <w:webHidden/>
          </w:rPr>
          <w:t>4</w:t>
        </w:r>
        <w:r w:rsidR="00555880">
          <w:rPr>
            <w:webHidden/>
          </w:rPr>
          <w:fldChar w:fldCharType="end"/>
        </w:r>
      </w:hyperlink>
    </w:p>
    <w:p w:rsidR="00555880" w:rsidRDefault="00707CC4">
      <w:pPr>
        <w:pStyle w:val="Inhopg1"/>
        <w:rPr>
          <w:rFonts w:asciiTheme="minorHAnsi" w:eastAsiaTheme="minorEastAsia" w:hAnsiTheme="minorHAnsi" w:cstheme="minorBidi"/>
          <w:b w:val="0"/>
          <w:sz w:val="22"/>
          <w:szCs w:val="22"/>
          <w:lang w:val="nl-BE" w:eastAsia="nl-BE"/>
        </w:rPr>
      </w:pPr>
      <w:hyperlink w:anchor="_Toc25654208" w:history="1">
        <w:r w:rsidR="00555880" w:rsidRPr="004E0B7B">
          <w:rPr>
            <w:rStyle w:val="Hyperlink"/>
          </w:rPr>
          <w:t>Frais de transport</w:t>
        </w:r>
        <w:r w:rsidR="00555880">
          <w:rPr>
            <w:webHidden/>
          </w:rPr>
          <w:tab/>
        </w:r>
        <w:r w:rsidR="00555880">
          <w:rPr>
            <w:webHidden/>
          </w:rPr>
          <w:fldChar w:fldCharType="begin"/>
        </w:r>
        <w:r w:rsidR="00555880">
          <w:rPr>
            <w:webHidden/>
          </w:rPr>
          <w:instrText xml:space="preserve"> PAGEREF _Toc25654208 \h </w:instrText>
        </w:r>
        <w:r w:rsidR="00555880">
          <w:rPr>
            <w:webHidden/>
          </w:rPr>
        </w:r>
        <w:r w:rsidR="00555880">
          <w:rPr>
            <w:webHidden/>
          </w:rPr>
          <w:fldChar w:fldCharType="separate"/>
        </w:r>
        <w:r w:rsidR="00555880">
          <w:rPr>
            <w:webHidden/>
          </w:rPr>
          <w:t>4</w:t>
        </w:r>
        <w:r w:rsidR="00555880">
          <w:rPr>
            <w:webHidden/>
          </w:rPr>
          <w:fldChar w:fldCharType="end"/>
        </w:r>
      </w:hyperlink>
    </w:p>
    <w:p w:rsidR="00555880" w:rsidRDefault="00707CC4">
      <w:pPr>
        <w:pStyle w:val="Inhopg1"/>
        <w:rPr>
          <w:rFonts w:asciiTheme="minorHAnsi" w:eastAsiaTheme="minorEastAsia" w:hAnsiTheme="minorHAnsi" w:cstheme="minorBidi"/>
          <w:b w:val="0"/>
          <w:sz w:val="22"/>
          <w:szCs w:val="22"/>
          <w:lang w:val="nl-BE" w:eastAsia="nl-BE"/>
        </w:rPr>
      </w:pPr>
      <w:hyperlink w:anchor="_Toc25654209" w:history="1">
        <w:r w:rsidR="00555880" w:rsidRPr="004E0B7B">
          <w:rPr>
            <w:rStyle w:val="Hyperlink"/>
          </w:rPr>
          <w:t>Indenité de vélo</w:t>
        </w:r>
        <w:r w:rsidR="00555880">
          <w:rPr>
            <w:webHidden/>
          </w:rPr>
          <w:tab/>
        </w:r>
        <w:r w:rsidR="00555880">
          <w:rPr>
            <w:webHidden/>
          </w:rPr>
          <w:fldChar w:fldCharType="begin"/>
        </w:r>
        <w:r w:rsidR="00555880">
          <w:rPr>
            <w:webHidden/>
          </w:rPr>
          <w:instrText xml:space="preserve"> PAGEREF _Toc25654209 \h </w:instrText>
        </w:r>
        <w:r w:rsidR="00555880">
          <w:rPr>
            <w:webHidden/>
          </w:rPr>
        </w:r>
        <w:r w:rsidR="00555880">
          <w:rPr>
            <w:webHidden/>
          </w:rPr>
          <w:fldChar w:fldCharType="separate"/>
        </w:r>
        <w:r w:rsidR="00555880">
          <w:rPr>
            <w:webHidden/>
          </w:rPr>
          <w:t>4</w:t>
        </w:r>
        <w:r w:rsidR="00555880">
          <w:rPr>
            <w:webHidden/>
          </w:rPr>
          <w:fldChar w:fldCharType="end"/>
        </w:r>
      </w:hyperlink>
    </w:p>
    <w:p w:rsidR="005A68F5" w:rsidRPr="00CB3493" w:rsidRDefault="00A50C16" w:rsidP="00A50C16">
      <w:pPr>
        <w:rPr>
          <w:rFonts w:cs="Arial"/>
          <w:b/>
          <w:bCs/>
          <w:u w:val="single"/>
          <w:lang w:val="nl-BE"/>
        </w:rPr>
      </w:pPr>
      <w:r>
        <w:rPr>
          <w:b/>
          <w:bCs/>
        </w:rPr>
        <w:fldChar w:fldCharType="end"/>
      </w:r>
    </w:p>
    <w:p w:rsidR="00A50C16" w:rsidRPr="00CB3493" w:rsidRDefault="00A50C16" w:rsidP="00561996">
      <w:pPr>
        <w:tabs>
          <w:tab w:val="left" w:pos="0"/>
        </w:tabs>
        <w:rPr>
          <w:rFonts w:cs="Arial"/>
          <w:b/>
          <w:bCs/>
          <w:u w:val="single"/>
          <w:lang w:val="nl-BE"/>
        </w:rPr>
      </w:pPr>
    </w:p>
    <w:p w:rsidR="00153F7A" w:rsidRPr="00153F7A" w:rsidRDefault="00153F7A" w:rsidP="00153F7A">
      <w:pPr>
        <w:rPr>
          <w:rFonts w:cs="Arial"/>
          <w:i/>
          <w:lang w:val="fr-BE" w:eastAsia="fr-BE"/>
        </w:rPr>
      </w:pPr>
      <w:r w:rsidRPr="00153F7A">
        <w:rPr>
          <w:rFonts w:cs="Arial"/>
          <w:i/>
          <w:lang w:val="fr-BE" w:eastAsia="fr-BE"/>
        </w:rPr>
        <w:t xml:space="preserve">Les CCT mentionnées ci-après peuvent être consultées sur le site du SPF ETCS : </w:t>
      </w:r>
      <w:hyperlink r:id="rId9" w:history="1">
        <w:r w:rsidRPr="00153F7A">
          <w:rPr>
            <w:rStyle w:val="Hyperlink"/>
            <w:rFonts w:cs="Arial"/>
            <w:i/>
            <w:lang w:val="fr-BE" w:eastAsia="fr-BE"/>
          </w:rPr>
          <w:t>http://www.emploi.belgique.be/searchCAO.aspx?id=4708</w:t>
        </w:r>
      </w:hyperlink>
    </w:p>
    <w:p w:rsidR="00BB2689" w:rsidRPr="00BB2689" w:rsidRDefault="00BB2689" w:rsidP="00BB2689">
      <w:pPr>
        <w:rPr>
          <w:i/>
          <w:lang w:val="fr-BE"/>
        </w:rPr>
      </w:pPr>
      <w:r w:rsidRPr="00BB2689">
        <w:rPr>
          <w:i/>
          <w:lang w:val="fr-BE"/>
        </w:rPr>
        <w:t xml:space="preserve">Le site ne permettant </w:t>
      </w:r>
      <w:r w:rsidR="0046566E">
        <w:rPr>
          <w:i/>
          <w:lang w:val="fr-BE"/>
        </w:rPr>
        <w:t xml:space="preserve">pas </w:t>
      </w:r>
      <w:r w:rsidRPr="00BB2689">
        <w:rPr>
          <w:i/>
          <w:lang w:val="fr-BE"/>
        </w:rPr>
        <w:t xml:space="preserve">de </w:t>
      </w:r>
      <w:r w:rsidR="0046566E">
        <w:rPr>
          <w:i/>
          <w:lang w:val="fr-BE"/>
        </w:rPr>
        <w:t>consulter des CCT antérieures à</w:t>
      </w:r>
      <w:r w:rsidRPr="00BB2689">
        <w:rPr>
          <w:i/>
          <w:lang w:val="fr-BE"/>
        </w:rPr>
        <w:t xml:space="preserve"> 1999, le texte des CCT plus anciennes est repris dans cette fiche. </w:t>
      </w:r>
    </w:p>
    <w:p w:rsidR="00701E44" w:rsidRPr="00BB2689" w:rsidRDefault="00701E44" w:rsidP="00561996">
      <w:pPr>
        <w:tabs>
          <w:tab w:val="left" w:pos="0"/>
        </w:tabs>
        <w:rPr>
          <w:rFonts w:cs="Arial"/>
          <w:b/>
          <w:bCs/>
          <w:u w:val="single"/>
          <w:lang w:val="fr-BE"/>
        </w:rPr>
      </w:pPr>
    </w:p>
    <w:p w:rsidR="00153F7A" w:rsidRPr="00BB2689" w:rsidRDefault="00153F7A" w:rsidP="00561996">
      <w:pPr>
        <w:tabs>
          <w:tab w:val="left" w:pos="0"/>
        </w:tabs>
        <w:rPr>
          <w:rFonts w:cs="Arial"/>
          <w:b/>
          <w:bCs/>
          <w:u w:val="single"/>
          <w:lang w:val="fr-BE"/>
        </w:rPr>
      </w:pPr>
    </w:p>
    <w:p w:rsidR="00774593" w:rsidRDefault="00774593" w:rsidP="00774593">
      <w:pPr>
        <w:pStyle w:val="Kop1"/>
      </w:pPr>
      <w:bookmarkStart w:id="0" w:name="_Toc402272404"/>
      <w:bookmarkStart w:id="1" w:name="_Toc25654203"/>
      <w:bookmarkStart w:id="2" w:name="_Toc338323296"/>
      <w:bookmarkStart w:id="3" w:name="_Toc338324015"/>
      <w:bookmarkStart w:id="4" w:name="_Toc338325060"/>
      <w:bookmarkStart w:id="5" w:name="_Toc338331476"/>
      <w:bookmarkStart w:id="6" w:name="_Toc395092733"/>
      <w:r w:rsidRPr="00FD76F4">
        <w:t>Allocation complémentaire au double pécule de vacances</w:t>
      </w:r>
      <w:bookmarkEnd w:id="0"/>
      <w:bookmarkEnd w:id="1"/>
      <w:r w:rsidRPr="00FD76F4">
        <w:t xml:space="preserve"> </w:t>
      </w:r>
    </w:p>
    <w:p w:rsidR="00AA011F" w:rsidRPr="00AA011F" w:rsidRDefault="00AA011F" w:rsidP="001846BF">
      <w:pPr>
        <w:rPr>
          <w:lang w:val="fr-FR"/>
        </w:rPr>
      </w:pPr>
    </w:p>
    <w:p w:rsidR="00774593" w:rsidRDefault="00774593" w:rsidP="001846BF">
      <w:pPr>
        <w:rPr>
          <w:lang w:val="fr-BE"/>
        </w:rPr>
      </w:pPr>
      <w:r w:rsidRPr="00AA011F">
        <w:rPr>
          <w:b/>
          <w:lang w:val="fr-BE"/>
        </w:rPr>
        <w:t>CCT du 13 mai 1997 (45.048) modifiée par la CCT du 28 avril 1999 (51.361</w:t>
      </w:r>
      <w:r>
        <w:rPr>
          <w:lang w:val="fr-BE"/>
        </w:rPr>
        <w:t>)</w:t>
      </w:r>
    </w:p>
    <w:p w:rsidR="00DE3CC9" w:rsidRPr="00726961" w:rsidRDefault="00DE3CC9" w:rsidP="00DE3CC9">
      <w:pPr>
        <w:pStyle w:val="Default"/>
        <w:tabs>
          <w:tab w:val="left" w:pos="8505"/>
        </w:tabs>
        <w:rPr>
          <w:b/>
          <w:i/>
          <w:lang w:val="fr-BE"/>
        </w:rPr>
      </w:pPr>
      <w:r w:rsidRPr="00726961">
        <w:rPr>
          <w:b/>
          <w:i/>
          <w:lang w:val="fr-BE"/>
        </w:rPr>
        <w:t>Allocation complémentaire au double pécule de vacances</w:t>
      </w:r>
    </w:p>
    <w:p w:rsidR="00774593" w:rsidRPr="00DE3CC9" w:rsidRDefault="00774593" w:rsidP="00774593">
      <w:pPr>
        <w:pStyle w:val="Default"/>
        <w:tabs>
          <w:tab w:val="left" w:pos="8505"/>
        </w:tabs>
        <w:rPr>
          <w:i/>
          <w:lang w:val="fr-FR"/>
        </w:rPr>
      </w:pPr>
      <w:r w:rsidRPr="000E609A">
        <w:rPr>
          <w:i/>
          <w:lang w:val="fr-BE"/>
        </w:rPr>
        <w:t>Tous les articles, art.3</w:t>
      </w:r>
      <w:r>
        <w:rPr>
          <w:lang w:val="fr-BE"/>
        </w:rPr>
        <w:t xml:space="preserve"> est </w:t>
      </w:r>
      <w:r w:rsidR="00BB4BBE">
        <w:rPr>
          <w:lang w:val="fr-BE"/>
        </w:rPr>
        <w:t>complété</w:t>
      </w:r>
      <w:r>
        <w:rPr>
          <w:lang w:val="fr-BE"/>
        </w:rPr>
        <w:t xml:space="preserve"> par l’art 2 de la CCT 51.361 à partir du 1</w:t>
      </w:r>
      <w:r w:rsidRPr="00774593">
        <w:rPr>
          <w:vertAlign w:val="superscript"/>
          <w:lang w:val="fr-BE"/>
        </w:rPr>
        <w:t>er</w:t>
      </w:r>
      <w:r>
        <w:rPr>
          <w:lang w:val="fr-BE"/>
        </w:rPr>
        <w:t xml:space="preserve"> janvier 1999 jusqu’au 31 décembre 2000. </w:t>
      </w:r>
      <w:r w:rsidRPr="00DE3CC9">
        <w:rPr>
          <w:i/>
          <w:lang w:val="fr-FR"/>
        </w:rPr>
        <w:t>Elle est reconduite d'année en année si, avant son échéance annuelle, elle n'est pas dénoncée par l'une des parties contractantes.</w:t>
      </w:r>
    </w:p>
    <w:p w:rsidR="00AA011F" w:rsidRDefault="00774593" w:rsidP="00AA011F">
      <w:pPr>
        <w:pStyle w:val="Default"/>
        <w:tabs>
          <w:tab w:val="left" w:pos="8505"/>
        </w:tabs>
        <w:rPr>
          <w:i/>
          <w:lang w:val="fr-BE"/>
        </w:rPr>
      </w:pPr>
      <w:r w:rsidRPr="00AA011F">
        <w:rPr>
          <w:i/>
          <w:lang w:val="fr-BE"/>
        </w:rPr>
        <w:t xml:space="preserve">Durée de </w:t>
      </w:r>
      <w:r w:rsidR="00FA3326" w:rsidRPr="00AA011F">
        <w:rPr>
          <w:i/>
          <w:lang w:val="fr-BE"/>
        </w:rPr>
        <w:t>validité</w:t>
      </w:r>
      <w:r w:rsidRPr="00AA011F">
        <w:rPr>
          <w:i/>
          <w:lang w:val="fr-BE"/>
        </w:rPr>
        <w:t> : 1</w:t>
      </w:r>
      <w:r w:rsidRPr="00AA011F">
        <w:rPr>
          <w:i/>
          <w:vertAlign w:val="superscript"/>
          <w:lang w:val="fr-BE"/>
        </w:rPr>
        <w:t>er</w:t>
      </w:r>
      <w:r w:rsidRPr="00AA011F">
        <w:rPr>
          <w:i/>
          <w:lang w:val="fr-BE"/>
        </w:rPr>
        <w:t xml:space="preserve"> janvier 1997 jusqu’au 31 décembre 1998. Elle est reconduite d’année en année si, avant son échéance annuelle, elle n’est pas dénoncée par l’une des parties signataires</w:t>
      </w:r>
      <w:bookmarkStart w:id="7" w:name="_Toc338324017"/>
      <w:bookmarkStart w:id="8" w:name="_Toc338325062"/>
      <w:bookmarkStart w:id="9" w:name="_Toc338331478"/>
      <w:bookmarkEnd w:id="2"/>
      <w:bookmarkEnd w:id="3"/>
      <w:bookmarkEnd w:id="4"/>
      <w:bookmarkEnd w:id="5"/>
      <w:bookmarkEnd w:id="6"/>
    </w:p>
    <w:p w:rsidR="007C5A1A" w:rsidRDefault="007C5A1A" w:rsidP="00AA011F">
      <w:pPr>
        <w:pStyle w:val="Default"/>
        <w:tabs>
          <w:tab w:val="left" w:pos="8505"/>
        </w:tabs>
        <w:rPr>
          <w:i/>
          <w:lang w:val="fr-BE"/>
        </w:rPr>
      </w:pPr>
    </w:p>
    <w:p w:rsidR="007C5A1A" w:rsidRPr="00CA22E6" w:rsidRDefault="007C5A1A" w:rsidP="00094858">
      <w:pPr>
        <w:rPr>
          <w:rFonts w:eastAsia="Calibri" w:cs="Arial"/>
          <w:lang w:val="fr-BE"/>
        </w:rPr>
      </w:pPr>
      <w:r w:rsidRPr="00CA22E6">
        <w:rPr>
          <w:rFonts w:eastAsia="Calibri" w:cs="Arial"/>
          <w:lang w:val="fr-BE"/>
        </w:rPr>
        <w:t>Chapitre 1</w:t>
      </w:r>
      <w:r w:rsidRPr="00CA22E6">
        <w:rPr>
          <w:rFonts w:eastAsia="Calibri" w:cs="Arial"/>
          <w:vertAlign w:val="superscript"/>
          <w:lang w:val="fr-BE"/>
        </w:rPr>
        <w:t>er</w:t>
      </w:r>
      <w:r w:rsidRPr="00CA22E6">
        <w:rPr>
          <w:rFonts w:eastAsia="Calibri" w:cs="Arial"/>
          <w:lang w:val="fr-BE"/>
        </w:rPr>
        <w:t xml:space="preserve"> – Champ d’application</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Article 1</w:t>
      </w:r>
      <w:r w:rsidRPr="00CA22E6">
        <w:rPr>
          <w:rFonts w:eastAsia="Calibri" w:cs="Arial"/>
          <w:vertAlign w:val="superscript"/>
          <w:lang w:val="fr-BE"/>
        </w:rPr>
        <w:t>er</w:t>
      </w:r>
      <w:r w:rsidRPr="00CA22E6">
        <w:rPr>
          <w:rFonts w:eastAsia="Calibri" w:cs="Arial"/>
          <w:lang w:val="fr-BE"/>
        </w:rPr>
        <w:t>. La présente convention collective de travail s’applique aux employeurs et aux ouvriers des entreprises ressortissant à la Commission paritaire de l’industrie de l’habillement et de la confection, y compris les travailleurs(</w:t>
      </w:r>
      <w:proofErr w:type="spellStart"/>
      <w:r w:rsidRPr="00CA22E6">
        <w:rPr>
          <w:rFonts w:eastAsia="Calibri" w:cs="Arial"/>
          <w:lang w:val="fr-BE"/>
        </w:rPr>
        <w:t>euses</w:t>
      </w:r>
      <w:proofErr w:type="spellEnd"/>
      <w:r w:rsidRPr="00CA22E6">
        <w:rPr>
          <w:rFonts w:eastAsia="Calibri" w:cs="Arial"/>
          <w:lang w:val="fr-BE"/>
        </w:rPr>
        <w:t>) à domicile.</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Chaque fois que le terme « ouvriers » est utilisé ci-après : des ouvriers et ouvrières, des travailleurs et travailleuses à domicile.</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Chapitre II – Allocation complémentaire au double pécule de vacances</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 xml:space="preserve">Art.2. Dans </w:t>
      </w:r>
      <w:proofErr w:type="gramStart"/>
      <w:r w:rsidRPr="00CA22E6">
        <w:rPr>
          <w:rFonts w:eastAsia="Calibri" w:cs="Arial"/>
          <w:lang w:val="fr-BE"/>
        </w:rPr>
        <w:t>les entreprises visée</w:t>
      </w:r>
      <w:proofErr w:type="gramEnd"/>
      <w:r w:rsidRPr="00CA22E6">
        <w:rPr>
          <w:rFonts w:eastAsia="Calibri" w:cs="Arial"/>
          <w:lang w:val="fr-BE"/>
        </w:rPr>
        <w:t xml:space="preserve"> à l’article 1</w:t>
      </w:r>
      <w:r w:rsidRPr="00CA22E6">
        <w:rPr>
          <w:rFonts w:eastAsia="Calibri" w:cs="Arial"/>
          <w:vertAlign w:val="superscript"/>
          <w:lang w:val="fr-BE"/>
        </w:rPr>
        <w:t>er</w:t>
      </w:r>
      <w:r w:rsidRPr="00CA22E6">
        <w:rPr>
          <w:rFonts w:eastAsia="Calibri" w:cs="Arial"/>
          <w:lang w:val="fr-BE"/>
        </w:rPr>
        <w:t>, une allocation complémentaire au double pécule de vacances est octroyée :</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1° soit annuellement à tous les ouvriers qui sont en service de l’entreprise au 30 juin ;</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2° soit au moment de leur départ, sauf en cas de licenciement pour un motifs graves, pour la période qui commence, soit le 1</w:t>
      </w:r>
      <w:r w:rsidRPr="00CA22E6">
        <w:rPr>
          <w:rFonts w:eastAsia="Calibri" w:cs="Arial"/>
          <w:vertAlign w:val="superscript"/>
          <w:lang w:val="fr-BE"/>
        </w:rPr>
        <w:t>er</w:t>
      </w:r>
      <w:r w:rsidRPr="00CA22E6">
        <w:rPr>
          <w:rFonts w:eastAsia="Calibri" w:cs="Arial"/>
          <w:lang w:val="fr-BE"/>
        </w:rPr>
        <w:t xml:space="preserve"> juillet d’un période de référence pour laquelle </w:t>
      </w:r>
      <w:proofErr w:type="gramStart"/>
      <w:r w:rsidRPr="00CA22E6">
        <w:rPr>
          <w:rFonts w:eastAsia="Calibri" w:cs="Arial"/>
          <w:lang w:val="fr-BE"/>
        </w:rPr>
        <w:lastRenderedPageBreak/>
        <w:t>aucune</w:t>
      </w:r>
      <w:proofErr w:type="gramEnd"/>
      <w:r w:rsidRPr="00CA22E6">
        <w:rPr>
          <w:rFonts w:eastAsia="Calibri" w:cs="Arial"/>
          <w:lang w:val="fr-BE"/>
        </w:rPr>
        <w:t xml:space="preserve"> allocation n’a encore été versée, soit le jour de l’entrée en service après la date du 1</w:t>
      </w:r>
      <w:r w:rsidRPr="00CA22E6">
        <w:rPr>
          <w:rFonts w:eastAsia="Calibri" w:cs="Arial"/>
          <w:vertAlign w:val="superscript"/>
          <w:lang w:val="fr-BE"/>
        </w:rPr>
        <w:t>er</w:t>
      </w:r>
      <w:r w:rsidRPr="00CA22E6">
        <w:rPr>
          <w:rFonts w:eastAsia="Calibri" w:cs="Arial"/>
          <w:lang w:val="fr-BE"/>
        </w:rPr>
        <w:t xml:space="preserve"> juillet précitée, et qui prend fin à la date du départ de l’entreprise, à condition qu’ils aient au moins trois mois de service dans l’entreprise, pour lesquels toutes les formes d’emploi sont prises en considération ;</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3° ou bien au moment où ils commencent une interruption complète de la carrière professionnelle, en exécution de la convention collective de travail du 18 février 1985, conclue au sein de la Commission paritaire de l’industrie de l’habillement et de la confection, concernant l’interruption de la carrière professionnelle, rendue obligatoire par l’arrêté royal du 2 août 1985, publié au Moniteur Belge du 25 octobre 1985.</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 xml:space="preserve">Art.3. L’allocation complémentaire dont il est question à l’article 2, </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1° est égale à 6,5 p.c. du salaire brut, gagné dans l’entreprise pendant la période de référence.</w:t>
      </w:r>
    </w:p>
    <w:p w:rsidR="007C5A1A" w:rsidRPr="00CA22E6" w:rsidRDefault="007C5A1A" w:rsidP="00094858">
      <w:pPr>
        <w:ind w:left="567"/>
        <w:rPr>
          <w:rFonts w:eastAsia="Calibri" w:cs="Arial"/>
          <w:lang w:val="fr-BE"/>
        </w:rPr>
      </w:pPr>
    </w:p>
    <w:p w:rsidR="007C5A1A" w:rsidRPr="007C5A1A" w:rsidRDefault="007C5A1A" w:rsidP="00094858">
      <w:pPr>
        <w:rPr>
          <w:rFonts w:cs="Arial"/>
          <w:lang w:val="fr-FR"/>
        </w:rPr>
      </w:pPr>
      <w:r w:rsidRPr="007C5A1A">
        <w:rPr>
          <w:rFonts w:cs="Arial"/>
          <w:lang w:val="fr-FR"/>
        </w:rPr>
        <w:t>Sont pris en considération :</w:t>
      </w:r>
    </w:p>
    <w:p w:rsidR="007C5A1A" w:rsidRPr="007C5A1A" w:rsidRDefault="007C5A1A" w:rsidP="00094858">
      <w:pPr>
        <w:ind w:left="567"/>
        <w:rPr>
          <w:rFonts w:cs="Arial"/>
          <w:lang w:val="fr-FR"/>
        </w:rPr>
      </w:pPr>
    </w:p>
    <w:p w:rsidR="007C5A1A" w:rsidRPr="007C5A1A" w:rsidRDefault="007C5A1A" w:rsidP="00094858">
      <w:pPr>
        <w:rPr>
          <w:rFonts w:cs="Arial"/>
          <w:lang w:val="fr-FR"/>
        </w:rPr>
      </w:pPr>
      <w:r w:rsidRPr="007C5A1A">
        <w:rPr>
          <w:rFonts w:cs="Arial"/>
          <w:lang w:val="fr-FR"/>
        </w:rPr>
        <w:t xml:space="preserve">- les salaires bruts afférents aux journées de travail </w:t>
      </w:r>
      <w:proofErr w:type="gramStart"/>
      <w:r w:rsidRPr="007C5A1A">
        <w:rPr>
          <w:rFonts w:cs="Arial"/>
          <w:lang w:val="fr-FR"/>
        </w:rPr>
        <w:t>prestées;</w:t>
      </w:r>
      <w:proofErr w:type="gramEnd"/>
    </w:p>
    <w:p w:rsidR="007C5A1A" w:rsidRPr="007C5A1A" w:rsidRDefault="007C5A1A" w:rsidP="00094858">
      <w:pPr>
        <w:ind w:left="567"/>
        <w:rPr>
          <w:rFonts w:cs="Arial"/>
          <w:lang w:val="fr-FR"/>
        </w:rPr>
      </w:pPr>
    </w:p>
    <w:p w:rsidR="007C5A1A" w:rsidRPr="007C5A1A" w:rsidRDefault="007C5A1A" w:rsidP="00094858">
      <w:pPr>
        <w:rPr>
          <w:rFonts w:cs="Arial"/>
          <w:lang w:val="fr-FR"/>
        </w:rPr>
      </w:pPr>
      <w:r w:rsidRPr="007C5A1A">
        <w:rPr>
          <w:rFonts w:cs="Arial"/>
          <w:lang w:val="fr-FR"/>
        </w:rPr>
        <w:t>- les salaires bruts afférents aux journées d'absence autorisée pour cause de formation sociale fixés à l'article 4 de la convention collective de travail du 26 mai 1997, conclue au sein de la Commission paritaire de l'industrie de l'habillement et de la confection, relative à la formation et l'information sociale, rendue obligatoire par arrêté royal du 3 mai 1999 (Moniteur belge du 18 décembre 1999).</w:t>
      </w:r>
    </w:p>
    <w:p w:rsidR="007C5A1A" w:rsidRPr="007C5A1A" w:rsidRDefault="007C5A1A" w:rsidP="00094858">
      <w:pPr>
        <w:ind w:left="567"/>
        <w:rPr>
          <w:rFonts w:cs="Arial"/>
          <w:lang w:val="fr-FR"/>
        </w:rPr>
      </w:pPr>
    </w:p>
    <w:p w:rsidR="007C5A1A" w:rsidRPr="007C5A1A" w:rsidRDefault="007C5A1A" w:rsidP="00094858">
      <w:pPr>
        <w:rPr>
          <w:rFonts w:cs="Arial"/>
          <w:lang w:val="fr-FR"/>
        </w:rPr>
      </w:pPr>
      <w:r w:rsidRPr="007C5A1A">
        <w:rPr>
          <w:rFonts w:cs="Arial"/>
          <w:lang w:val="fr-FR"/>
        </w:rPr>
        <w:t>Ceux-ci sont majorés de façon forfaitaire de 40 jours pour les jours fériés légaux, les jours de vacances légales et les jours de suspension du contrat de travail prévus par la loi du 3 juillet 1978 relative aux contrats de travail</w:t>
      </w:r>
    </w:p>
    <w:p w:rsidR="007C5A1A" w:rsidRPr="007C5A1A" w:rsidRDefault="007C5A1A" w:rsidP="00094858">
      <w:pPr>
        <w:autoSpaceDE w:val="0"/>
        <w:autoSpaceDN w:val="0"/>
        <w:adjustRightInd w:val="0"/>
        <w:rPr>
          <w:rFonts w:eastAsia="Calibri" w:cs="Arial"/>
          <w:i/>
          <w:lang w:val="fr-FR"/>
        </w:rPr>
      </w:pPr>
      <w:r w:rsidRPr="007C5A1A">
        <w:rPr>
          <w:rFonts w:cs="Arial"/>
          <w:i/>
          <w:lang w:val="fr-FR"/>
        </w:rPr>
        <w:t xml:space="preserve">(Cet article est modifié par la CCT du 28 avril 1999, numéro d’enregistrement 51.361, </w:t>
      </w:r>
      <w:r w:rsidRPr="007C5A1A">
        <w:rPr>
          <w:rFonts w:eastAsia="Calibri" w:cs="Arial"/>
          <w:i/>
          <w:lang w:val="fr-FR"/>
        </w:rPr>
        <w:t>La CCT entre en vigueur le 1er janvier 1999 et cesse en vigueur le 31 décembre 2000. Elle est reconduite d'année en année si, avant son échéance annuelle, elle n'est pas dénoncée par l'une des parties contractantes.)</w:t>
      </w:r>
    </w:p>
    <w:p w:rsidR="007C5A1A" w:rsidRPr="00537830" w:rsidRDefault="007C5A1A" w:rsidP="00094858">
      <w:pPr>
        <w:ind w:left="567"/>
        <w:rPr>
          <w:rFonts w:eastAsia="Calibri" w:cs="Arial"/>
          <w:lang w:val="fr-FR"/>
        </w:rPr>
      </w:pPr>
    </w:p>
    <w:p w:rsidR="007C5A1A" w:rsidRPr="00CA22E6" w:rsidRDefault="007C5A1A" w:rsidP="00094858">
      <w:pPr>
        <w:rPr>
          <w:rFonts w:eastAsia="Calibri" w:cs="Arial"/>
          <w:lang w:val="fr-BE"/>
        </w:rPr>
      </w:pPr>
      <w:r w:rsidRPr="00CA22E6">
        <w:rPr>
          <w:rFonts w:eastAsia="Calibri" w:cs="Arial"/>
          <w:lang w:val="fr-BE"/>
        </w:rPr>
        <w:t>Le salaire journalier brut, à prendre en considération pour ces journées forfaitaires, est égal au salaire journalier moyen de la dernière période de paie, qui précède le paiement du complément au double pécule de vacances, conformément au mode de calcul prévu dans l’arrêté royal du 18 avril 1974 sur les jours fériés.</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Est considérée comme période de référence : la période de 12 mois, qui prend cours le 1</w:t>
      </w:r>
      <w:r w:rsidRPr="00CA22E6">
        <w:rPr>
          <w:rFonts w:eastAsia="Calibri" w:cs="Arial"/>
          <w:vertAlign w:val="superscript"/>
          <w:lang w:val="fr-BE"/>
        </w:rPr>
        <w:t>er</w:t>
      </w:r>
      <w:r w:rsidRPr="00CA22E6">
        <w:rPr>
          <w:rFonts w:eastAsia="Calibri" w:cs="Arial"/>
          <w:lang w:val="fr-BE"/>
        </w:rPr>
        <w:t xml:space="preserve"> juillet de l’année civile qui précède l’année de l’allocation et qui prend fin le 30 juin de l’année civile pendant laquelle l’allocation est payée.</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Cette allocation complémentaire est payée à l’occasion des vacances principales dans l’entreprise et au plus tard avec la première paie suivant le 15 août.</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Art.4. L’allocation complémentaire visée à l’article 2, 2° est égale à 6,5 p.c. du salaire brut pour la période qui prend cours, selon le cas, soit le 1</w:t>
      </w:r>
      <w:r w:rsidRPr="00CA22E6">
        <w:rPr>
          <w:rFonts w:eastAsia="Calibri" w:cs="Arial"/>
          <w:vertAlign w:val="superscript"/>
          <w:lang w:val="fr-BE"/>
        </w:rPr>
        <w:t>er</w:t>
      </w:r>
      <w:r w:rsidRPr="00CA22E6">
        <w:rPr>
          <w:rFonts w:eastAsia="Calibri" w:cs="Arial"/>
          <w:lang w:val="fr-BE"/>
        </w:rPr>
        <w:t xml:space="preserve"> juillet d’une période de </w:t>
      </w:r>
      <w:r w:rsidRPr="00CA22E6">
        <w:rPr>
          <w:rFonts w:eastAsia="Calibri" w:cs="Arial"/>
          <w:lang w:val="fr-BE"/>
        </w:rPr>
        <w:lastRenderedPageBreak/>
        <w:t>référence pour laquelle aucune allocation n’a pas encore été payée, soit le jour de l’entrée en service après la date du 1</w:t>
      </w:r>
      <w:r w:rsidRPr="00CA22E6">
        <w:rPr>
          <w:rFonts w:eastAsia="Calibri" w:cs="Arial"/>
          <w:vertAlign w:val="superscript"/>
          <w:lang w:val="fr-BE"/>
        </w:rPr>
        <w:t>er</w:t>
      </w:r>
      <w:r w:rsidRPr="00CA22E6">
        <w:rPr>
          <w:rFonts w:eastAsia="Calibri" w:cs="Arial"/>
          <w:lang w:val="fr-BE"/>
        </w:rPr>
        <w:t xml:space="preserve"> juillet visée ci-dessus et qui prend fin à la date du départ de l’entreprise.</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Cette allocation complémentaire doit être payée au travailleur par l’employeur de l’entreprise qu’il quitte, avec la dernière paie.</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Les journées forfaitaires, visées à l’article 3, alinéa 2, sont octroyées en rapport avec la durée pendant laquelle le travailleur était lié par un contrat de travail pendant la période de référence, à raison de 3,33 jours par mois calendrier entamé.</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Art.5. L’allocation complémentaire stipulée dans l’article 2, alinéa 3, est égale à 6,5 p.c. du salaire brut pour la période qui commence, selon le cas, ou bien le 1</w:t>
      </w:r>
      <w:r w:rsidRPr="00CA22E6">
        <w:rPr>
          <w:rFonts w:eastAsia="Calibri" w:cs="Arial"/>
          <w:vertAlign w:val="superscript"/>
          <w:lang w:val="fr-BE"/>
        </w:rPr>
        <w:t>er</w:t>
      </w:r>
      <w:r w:rsidRPr="00CA22E6">
        <w:rPr>
          <w:rFonts w:eastAsia="Calibri" w:cs="Arial"/>
          <w:lang w:val="fr-BE"/>
        </w:rPr>
        <w:t xml:space="preserve"> juillet d’une période de référence qui n’a pas encore été rémunérée, ou bien le jour de l’entrée en service après la date visée ci-avant du 1</w:t>
      </w:r>
      <w:r w:rsidRPr="00CA22E6">
        <w:rPr>
          <w:rFonts w:eastAsia="Calibri" w:cs="Arial"/>
          <w:vertAlign w:val="superscript"/>
          <w:lang w:val="fr-BE"/>
        </w:rPr>
        <w:t>er</w:t>
      </w:r>
      <w:r w:rsidRPr="00CA22E6">
        <w:rPr>
          <w:rFonts w:eastAsia="Calibri" w:cs="Arial"/>
          <w:lang w:val="fr-BE"/>
        </w:rPr>
        <w:t xml:space="preserve"> juillet et qui prend fin à la date du commencement effectif de l’interruption complète de la carrière professionnelle.</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Cette allocation complémentaire doit être payée au travailleur par l’employeur en même temps que la dernière paie.</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Les jours forfaitaires visés à l’article 3, alinéa 2, sont octroyés proportionnellement à la durée pendant laquelle le travailleur a été lié par un contrat de travail au cours de la période de référence, avant le début de l’interruption complète de la carrière professionnelle, à raison de 3,33 jours par mois civil entamé.</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 xml:space="preserve">Art.6. </w:t>
      </w:r>
      <w:proofErr w:type="gramStart"/>
      <w:r w:rsidRPr="00CA22E6">
        <w:rPr>
          <w:rFonts w:eastAsia="Calibri" w:cs="Arial"/>
          <w:lang w:val="fr-BE"/>
        </w:rPr>
        <w:t>les</w:t>
      </w:r>
      <w:proofErr w:type="gramEnd"/>
      <w:r w:rsidRPr="00CA22E6">
        <w:rPr>
          <w:rFonts w:eastAsia="Calibri" w:cs="Arial"/>
          <w:lang w:val="fr-BE"/>
        </w:rPr>
        <w:t xml:space="preserve"> dispositions prévues ci-dessus ne portent pas préjudice aux droits des ouvriers des entreprises qui s’étaient engagées antérieurement à leur accorder un avantage de même nature et de plus grande importance.</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 xml:space="preserve">Chapitre III – Dispositions finales </w:t>
      </w:r>
    </w:p>
    <w:p w:rsidR="007C5A1A" w:rsidRPr="00CA22E6" w:rsidRDefault="007C5A1A" w:rsidP="00094858">
      <w:pPr>
        <w:ind w:left="567"/>
        <w:rPr>
          <w:rFonts w:eastAsia="Calibri" w:cs="Arial"/>
          <w:lang w:val="fr-BE"/>
        </w:rPr>
      </w:pPr>
    </w:p>
    <w:p w:rsidR="007C5A1A" w:rsidRPr="00CA22E6" w:rsidRDefault="007C5A1A" w:rsidP="00094858">
      <w:pPr>
        <w:rPr>
          <w:rFonts w:eastAsia="Calibri" w:cs="Arial"/>
          <w:lang w:val="fr-BE"/>
        </w:rPr>
      </w:pPr>
      <w:r w:rsidRPr="00CA22E6">
        <w:rPr>
          <w:rFonts w:eastAsia="Calibri" w:cs="Arial"/>
          <w:lang w:val="fr-BE"/>
        </w:rPr>
        <w:t>Art.7. La présente convention collective de travail produit ses effets le 1</w:t>
      </w:r>
      <w:r w:rsidRPr="00CA22E6">
        <w:rPr>
          <w:rFonts w:eastAsia="Calibri" w:cs="Arial"/>
          <w:vertAlign w:val="superscript"/>
          <w:lang w:val="fr-BE"/>
        </w:rPr>
        <w:t>er</w:t>
      </w:r>
      <w:r w:rsidRPr="00CA22E6">
        <w:rPr>
          <w:rFonts w:eastAsia="Calibri" w:cs="Arial"/>
          <w:lang w:val="fr-BE"/>
        </w:rPr>
        <w:t xml:space="preserve"> janvier 1997 et cesse d’être en vigueur le 31 décembre 1998. Elle est reconduite d’année en année si, avant son échéance annuelle, elle n’est pas dénoncée par l’une des parties signataires.</w:t>
      </w:r>
    </w:p>
    <w:p w:rsidR="007C5A1A" w:rsidRPr="00CA22E6" w:rsidRDefault="007C5A1A" w:rsidP="00094858">
      <w:pPr>
        <w:ind w:left="567"/>
        <w:rPr>
          <w:rFonts w:eastAsia="Calibri" w:cs="Arial"/>
          <w:lang w:val="fr-BE"/>
        </w:rPr>
      </w:pPr>
    </w:p>
    <w:bookmarkEnd w:id="7"/>
    <w:bookmarkEnd w:id="8"/>
    <w:bookmarkEnd w:id="9"/>
    <w:p w:rsidR="00094858" w:rsidRPr="00561996" w:rsidRDefault="00094858" w:rsidP="007C5A1A">
      <w:pPr>
        <w:pStyle w:val="Plattetekst"/>
        <w:rPr>
          <w:rFonts w:ascii="Arial" w:hAnsi="Arial" w:cs="Arial"/>
          <w:sz w:val="24"/>
          <w:lang w:val="fr-FR"/>
        </w:rPr>
      </w:pPr>
    </w:p>
    <w:p w:rsidR="00013BBC" w:rsidRPr="00561996" w:rsidRDefault="007C5A1A" w:rsidP="00561996">
      <w:pPr>
        <w:pStyle w:val="Kop1"/>
        <w:rPr>
          <w:rFonts w:cs="Arial"/>
        </w:rPr>
      </w:pPr>
      <w:bookmarkStart w:id="10" w:name="_Toc25654204"/>
      <w:r>
        <w:rPr>
          <w:rFonts w:cs="Arial"/>
        </w:rPr>
        <w:t>Chèques-repas</w:t>
      </w:r>
      <w:bookmarkEnd w:id="10"/>
    </w:p>
    <w:p w:rsidR="000A4D44" w:rsidRPr="00881804" w:rsidRDefault="000A4D44" w:rsidP="001846BF">
      <w:pPr>
        <w:rPr>
          <w:lang w:val="fr-FR"/>
        </w:rPr>
      </w:pPr>
      <w:bookmarkStart w:id="11" w:name="_Toc338325065"/>
      <w:bookmarkStart w:id="12" w:name="_Toc338331481"/>
      <w:bookmarkStart w:id="13" w:name="_Toc395092740"/>
    </w:p>
    <w:p w:rsidR="00E4542E" w:rsidRPr="00881804" w:rsidRDefault="00E4542E" w:rsidP="005A6961">
      <w:pPr>
        <w:ind w:left="284"/>
        <w:rPr>
          <w:rFonts w:cs="Arial"/>
          <w:b/>
          <w:lang w:val="fr-BE"/>
        </w:rPr>
      </w:pPr>
      <w:r w:rsidRPr="00881804">
        <w:rPr>
          <w:rFonts w:cs="Arial"/>
          <w:b/>
          <w:lang w:val="fr-BE"/>
        </w:rPr>
        <w:t xml:space="preserve">CCT du 19 janvier 2012 (108.613) </w:t>
      </w:r>
    </w:p>
    <w:p w:rsidR="00E4542E" w:rsidRPr="00F0078F" w:rsidRDefault="00E4542E" w:rsidP="005A6961">
      <w:pPr>
        <w:ind w:left="284"/>
        <w:rPr>
          <w:b/>
          <w:i/>
          <w:lang w:val="fr-BE"/>
        </w:rPr>
      </w:pPr>
      <w:r w:rsidRPr="00F0078F">
        <w:rPr>
          <w:b/>
          <w:i/>
          <w:lang w:val="fr-BE"/>
        </w:rPr>
        <w:t xml:space="preserve">Octroi de chèques-repas </w:t>
      </w:r>
    </w:p>
    <w:p w:rsidR="00E4542E" w:rsidRPr="00F0078F" w:rsidRDefault="00E4542E" w:rsidP="005A6961">
      <w:pPr>
        <w:ind w:left="284"/>
        <w:rPr>
          <w:i/>
          <w:lang w:val="fr-BE"/>
        </w:rPr>
      </w:pPr>
      <w:r w:rsidRPr="00F0078F">
        <w:rPr>
          <w:i/>
          <w:lang w:val="fr-BE"/>
        </w:rPr>
        <w:t>Tous les articles</w:t>
      </w:r>
    </w:p>
    <w:p w:rsidR="00E4542E" w:rsidRPr="00F0078F" w:rsidRDefault="00E4542E" w:rsidP="005A6961">
      <w:pPr>
        <w:ind w:left="284"/>
        <w:rPr>
          <w:i/>
          <w:lang w:val="fr-BE"/>
        </w:rPr>
      </w:pPr>
      <w:r w:rsidRPr="00F0078F">
        <w:rPr>
          <w:bCs/>
          <w:i/>
          <w:color w:val="000000"/>
          <w:lang w:val="fr-BE"/>
        </w:rPr>
        <w:t xml:space="preserve">Durée de validité : </w:t>
      </w:r>
      <w:r w:rsidRPr="00F0078F">
        <w:rPr>
          <w:i/>
          <w:lang w:val="fr-BE"/>
        </w:rPr>
        <w:t>19 janvier 2012 pour une durée indé</w:t>
      </w:r>
      <w:r w:rsidR="008B6E40" w:rsidRPr="00F0078F">
        <w:rPr>
          <w:i/>
          <w:lang w:val="fr-BE"/>
        </w:rPr>
        <w:t>terminée</w:t>
      </w:r>
      <w:r w:rsidR="000A4D44" w:rsidRPr="00F0078F">
        <w:rPr>
          <w:i/>
          <w:lang w:val="fr-BE"/>
        </w:rPr>
        <w:t>.</w:t>
      </w:r>
      <w:r w:rsidRPr="00F0078F">
        <w:rPr>
          <w:i/>
          <w:lang w:val="fr-BE"/>
        </w:rPr>
        <w:t xml:space="preserve"> </w:t>
      </w:r>
    </w:p>
    <w:bookmarkEnd w:id="11"/>
    <w:bookmarkEnd w:id="12"/>
    <w:bookmarkEnd w:id="13"/>
    <w:p w:rsidR="001A2667" w:rsidRPr="00F0078F" w:rsidRDefault="001A2667" w:rsidP="005A6961">
      <w:pPr>
        <w:ind w:left="284"/>
        <w:rPr>
          <w:i/>
          <w:lang w:val="fr-BE"/>
        </w:rPr>
      </w:pPr>
    </w:p>
    <w:p w:rsidR="00F173E4" w:rsidRPr="00734836" w:rsidRDefault="00734836" w:rsidP="005A6961">
      <w:pPr>
        <w:pStyle w:val="Fiches-DateCCTetn"/>
        <w:ind w:left="284"/>
      </w:pPr>
      <w:bookmarkStart w:id="14" w:name="_Hlk25575708"/>
      <w:r w:rsidRPr="00734836">
        <w:t xml:space="preserve">CCT du 26 </w:t>
      </w:r>
      <w:r w:rsidR="001736D6">
        <w:t xml:space="preserve">juin </w:t>
      </w:r>
      <w:r w:rsidRPr="00734836">
        <w:t>2019 (</w:t>
      </w:r>
      <w:bookmarkEnd w:id="14"/>
      <w:r w:rsidRPr="00734836">
        <w:t>153.350)</w:t>
      </w:r>
    </w:p>
    <w:p w:rsidR="00094858" w:rsidRPr="00F0078F" w:rsidRDefault="00734836" w:rsidP="005A6961">
      <w:pPr>
        <w:ind w:left="284"/>
        <w:rPr>
          <w:b/>
          <w:i/>
          <w:lang w:val="fr-BE"/>
        </w:rPr>
      </w:pPr>
      <w:bookmarkStart w:id="15" w:name="_Hlk24531403"/>
      <w:r w:rsidRPr="00F0078F">
        <w:rPr>
          <w:b/>
          <w:i/>
          <w:lang w:val="fr-BE"/>
        </w:rPr>
        <w:t>Accord du paix sociale 2019-2020</w:t>
      </w:r>
    </w:p>
    <w:p w:rsidR="00F173E4" w:rsidRPr="008C295F" w:rsidRDefault="00734836" w:rsidP="005A6961">
      <w:pPr>
        <w:ind w:left="284"/>
        <w:rPr>
          <w:rFonts w:cs="Arial"/>
          <w:i/>
          <w:lang w:val="fr-FR"/>
        </w:rPr>
      </w:pPr>
      <w:r w:rsidRPr="008C295F">
        <w:rPr>
          <w:rFonts w:cs="Arial"/>
          <w:i/>
          <w:lang w:val="fr-FR"/>
        </w:rPr>
        <w:t>Article 1,2 et 4</w:t>
      </w:r>
    </w:p>
    <w:p w:rsidR="00F173E4" w:rsidRDefault="00734836" w:rsidP="005A6961">
      <w:pPr>
        <w:ind w:left="284"/>
        <w:rPr>
          <w:rFonts w:cs="Arial"/>
          <w:i/>
          <w:lang w:val="fr-FR"/>
        </w:rPr>
      </w:pPr>
      <w:r w:rsidRPr="00734836">
        <w:rPr>
          <w:rFonts w:cs="Arial"/>
          <w:bCs/>
          <w:i/>
          <w:lang w:val="fr-FR"/>
        </w:rPr>
        <w:t xml:space="preserve">Durée de validité : </w:t>
      </w:r>
      <w:r w:rsidRPr="00734836">
        <w:rPr>
          <w:rFonts w:cs="Arial"/>
          <w:i/>
          <w:lang w:val="fr-FR"/>
        </w:rPr>
        <w:t>1</w:t>
      </w:r>
      <w:r w:rsidRPr="00F0078F">
        <w:rPr>
          <w:rFonts w:cs="Arial"/>
          <w:i/>
          <w:vertAlign w:val="superscript"/>
          <w:lang w:val="fr-FR"/>
        </w:rPr>
        <w:t>er</w:t>
      </w:r>
      <w:r w:rsidRPr="00734836">
        <w:rPr>
          <w:rFonts w:cs="Arial"/>
          <w:i/>
          <w:lang w:val="fr-FR"/>
        </w:rPr>
        <w:t xml:space="preserve"> janvier 201</w:t>
      </w:r>
      <w:r w:rsidRPr="008C295F">
        <w:rPr>
          <w:rFonts w:cs="Arial"/>
          <w:i/>
          <w:lang w:val="fr-FR"/>
        </w:rPr>
        <w:t>9</w:t>
      </w:r>
      <w:r w:rsidRPr="00734836">
        <w:rPr>
          <w:rFonts w:cs="Arial"/>
          <w:i/>
          <w:lang w:val="fr-FR"/>
        </w:rPr>
        <w:t xml:space="preserve"> jusqu’au 31 décembre 20</w:t>
      </w:r>
      <w:r w:rsidRPr="008C295F">
        <w:rPr>
          <w:rFonts w:cs="Arial"/>
          <w:i/>
          <w:lang w:val="fr-FR"/>
        </w:rPr>
        <w:t>20</w:t>
      </w:r>
    </w:p>
    <w:p w:rsidR="00FE3AB8" w:rsidRDefault="00FE3AB8" w:rsidP="00F0078F">
      <w:pPr>
        <w:rPr>
          <w:rFonts w:cs="Arial"/>
          <w:i/>
          <w:lang w:val="fr-FR"/>
        </w:rPr>
      </w:pPr>
    </w:p>
    <w:p w:rsidR="00F173E4" w:rsidRDefault="00CE1A3E" w:rsidP="005A6961">
      <w:pPr>
        <w:pStyle w:val="Kop1"/>
        <w:ind w:left="284"/>
        <w:rPr>
          <w:u w:val="none"/>
        </w:rPr>
      </w:pPr>
      <w:bookmarkStart w:id="16" w:name="_Toc25654205"/>
      <w:bookmarkEnd w:id="15"/>
      <w:r w:rsidRPr="00CE1A3E">
        <w:rPr>
          <w:u w:val="none"/>
        </w:rPr>
        <w:t xml:space="preserve">CCT du 26 juin 2019 </w:t>
      </w:r>
      <w:r>
        <w:rPr>
          <w:u w:val="none"/>
        </w:rPr>
        <w:t>(153.297)</w:t>
      </w:r>
      <w:bookmarkEnd w:id="16"/>
    </w:p>
    <w:p w:rsidR="00CE1A3E" w:rsidRDefault="00CE1A3E" w:rsidP="005A6961">
      <w:pPr>
        <w:ind w:left="284"/>
        <w:rPr>
          <w:b/>
          <w:i/>
          <w:lang w:val="fr-FR"/>
        </w:rPr>
      </w:pPr>
      <w:r>
        <w:rPr>
          <w:b/>
          <w:i/>
          <w:lang w:val="fr-FR"/>
        </w:rPr>
        <w:t>Conditions de travail</w:t>
      </w:r>
    </w:p>
    <w:p w:rsidR="00CE1A3E" w:rsidRPr="005A6961" w:rsidRDefault="00CE1A3E" w:rsidP="005A6961">
      <w:pPr>
        <w:ind w:left="284"/>
        <w:rPr>
          <w:lang w:val="fr-FR"/>
        </w:rPr>
      </w:pPr>
      <w:r w:rsidRPr="005A6961">
        <w:rPr>
          <w:lang w:val="fr-FR"/>
        </w:rPr>
        <w:t>Article 1,2 et 17</w:t>
      </w:r>
    </w:p>
    <w:p w:rsidR="00CE1A3E" w:rsidRDefault="00CE1A3E" w:rsidP="005A6961">
      <w:pPr>
        <w:ind w:left="284"/>
        <w:rPr>
          <w:rFonts w:cs="Arial"/>
          <w:i/>
          <w:lang w:val="fr-FR"/>
        </w:rPr>
      </w:pPr>
      <w:r w:rsidRPr="00734836">
        <w:rPr>
          <w:rFonts w:cs="Arial"/>
          <w:bCs/>
          <w:i/>
          <w:lang w:val="fr-FR"/>
        </w:rPr>
        <w:t xml:space="preserve">Durée de validité : </w:t>
      </w:r>
      <w:r w:rsidRPr="00734836">
        <w:rPr>
          <w:rFonts w:cs="Arial"/>
          <w:i/>
          <w:lang w:val="fr-FR"/>
        </w:rPr>
        <w:t>1</w:t>
      </w:r>
      <w:r w:rsidRPr="00F0078F">
        <w:rPr>
          <w:rFonts w:cs="Arial"/>
          <w:i/>
          <w:vertAlign w:val="superscript"/>
          <w:lang w:val="fr-FR"/>
        </w:rPr>
        <w:t>er</w:t>
      </w:r>
      <w:r w:rsidRPr="00734836">
        <w:rPr>
          <w:rFonts w:cs="Arial"/>
          <w:i/>
          <w:lang w:val="fr-FR"/>
        </w:rPr>
        <w:t xml:space="preserve"> </w:t>
      </w:r>
      <w:r w:rsidR="008004D0">
        <w:rPr>
          <w:rFonts w:cs="Arial"/>
          <w:i/>
          <w:lang w:val="fr-FR"/>
        </w:rPr>
        <w:t xml:space="preserve">septembre </w:t>
      </w:r>
      <w:r w:rsidRPr="00734836">
        <w:rPr>
          <w:rFonts w:cs="Arial"/>
          <w:i/>
          <w:lang w:val="fr-FR"/>
        </w:rPr>
        <w:t>201</w:t>
      </w:r>
      <w:r w:rsidRPr="008C295F">
        <w:rPr>
          <w:rFonts w:cs="Arial"/>
          <w:i/>
          <w:lang w:val="fr-FR"/>
        </w:rPr>
        <w:t>9</w:t>
      </w:r>
      <w:r w:rsidRPr="00734836">
        <w:rPr>
          <w:rFonts w:cs="Arial"/>
          <w:i/>
          <w:lang w:val="fr-FR"/>
        </w:rPr>
        <w:t xml:space="preserve"> jusqu’au 31 décembre 20</w:t>
      </w:r>
      <w:r w:rsidRPr="008C295F">
        <w:rPr>
          <w:rFonts w:cs="Arial"/>
          <w:i/>
          <w:lang w:val="fr-FR"/>
        </w:rPr>
        <w:t>20</w:t>
      </w:r>
    </w:p>
    <w:p w:rsidR="00734836" w:rsidRDefault="00734836" w:rsidP="005A6961">
      <w:pPr>
        <w:ind w:left="284"/>
        <w:rPr>
          <w:lang w:val="fr-FR"/>
        </w:rPr>
      </w:pPr>
    </w:p>
    <w:p w:rsidR="00CE1A3E" w:rsidRPr="00734836" w:rsidRDefault="00CE1A3E" w:rsidP="00734836">
      <w:pPr>
        <w:rPr>
          <w:lang w:val="fr-FR"/>
        </w:rPr>
      </w:pPr>
    </w:p>
    <w:p w:rsidR="00FA3326" w:rsidRPr="00561996" w:rsidRDefault="00FA3326" w:rsidP="00FA3326">
      <w:pPr>
        <w:pStyle w:val="Kop1"/>
        <w:rPr>
          <w:rFonts w:cs="Arial"/>
        </w:rPr>
      </w:pPr>
      <w:bookmarkStart w:id="17" w:name="_Toc25654206"/>
      <w:r>
        <w:rPr>
          <w:rFonts w:cs="Arial"/>
        </w:rPr>
        <w:t>Assurance hospitalisation</w:t>
      </w:r>
      <w:bookmarkEnd w:id="17"/>
    </w:p>
    <w:p w:rsidR="00FA3326" w:rsidRDefault="00FA3326" w:rsidP="00FA3326">
      <w:pPr>
        <w:pStyle w:val="Kop2"/>
        <w:ind w:left="142"/>
        <w:rPr>
          <w:rFonts w:cs="Arial"/>
          <w:lang w:eastAsia="nl-BE"/>
        </w:rPr>
      </w:pPr>
      <w:bookmarkStart w:id="18" w:name="_Toc349205992"/>
      <w:bookmarkStart w:id="19" w:name="_Toc395092750"/>
    </w:p>
    <w:p w:rsidR="00FA3326" w:rsidRPr="00881804" w:rsidRDefault="00FA3326" w:rsidP="005A6961">
      <w:pPr>
        <w:ind w:left="284"/>
        <w:rPr>
          <w:b/>
          <w:lang w:val="fr-BE" w:eastAsia="nl-BE"/>
        </w:rPr>
      </w:pPr>
      <w:bookmarkStart w:id="20" w:name="_Toc401761171"/>
      <w:r w:rsidRPr="00881804">
        <w:rPr>
          <w:b/>
          <w:lang w:val="fr-BE" w:eastAsia="nl-BE"/>
        </w:rPr>
        <w:t xml:space="preserve">CCT du </w:t>
      </w:r>
      <w:bookmarkEnd w:id="18"/>
      <w:bookmarkEnd w:id="19"/>
      <w:bookmarkEnd w:id="20"/>
      <w:r w:rsidRPr="00881804">
        <w:rPr>
          <w:b/>
          <w:lang w:val="fr-BE" w:eastAsia="nl-BE"/>
        </w:rPr>
        <w:t>9 juin 2009 (94.307)</w:t>
      </w:r>
    </w:p>
    <w:p w:rsidR="00FA3326" w:rsidRPr="008B6E40" w:rsidRDefault="00FA3326" w:rsidP="005A6961">
      <w:pPr>
        <w:ind w:left="284"/>
        <w:rPr>
          <w:rFonts w:cs="Arial"/>
          <w:b/>
          <w:i/>
          <w:lang w:val="fr-BE"/>
        </w:rPr>
      </w:pPr>
      <w:r w:rsidRPr="008B6E40">
        <w:rPr>
          <w:rFonts w:cs="Arial"/>
          <w:b/>
          <w:i/>
          <w:lang w:val="fr-BE"/>
        </w:rPr>
        <w:t xml:space="preserve">Application du titre III de la loi du 25 juin 1992 concernant l'assurance sectorielle hospitalisation </w:t>
      </w:r>
    </w:p>
    <w:p w:rsidR="00FA3326" w:rsidRPr="00561996" w:rsidRDefault="00FA3326" w:rsidP="005A6961">
      <w:pPr>
        <w:ind w:left="284"/>
        <w:rPr>
          <w:rFonts w:cs="Arial"/>
          <w:lang w:val="fr-BE"/>
        </w:rPr>
      </w:pPr>
      <w:r w:rsidRPr="00AF371A">
        <w:rPr>
          <w:rFonts w:cs="Arial"/>
          <w:lang w:val="fr-BE"/>
        </w:rPr>
        <w:t>Tous les articles</w:t>
      </w:r>
      <w:r>
        <w:rPr>
          <w:rFonts w:cs="Arial"/>
          <w:lang w:val="fr-BE"/>
        </w:rPr>
        <w:t>.</w:t>
      </w:r>
    </w:p>
    <w:p w:rsidR="00FA3326" w:rsidRPr="00BB2689" w:rsidRDefault="00FA3326" w:rsidP="005A6961">
      <w:pPr>
        <w:ind w:left="284" w:right="-108"/>
        <w:rPr>
          <w:rFonts w:cs="Arial"/>
          <w:i/>
          <w:lang w:val="fr-BE"/>
        </w:rPr>
      </w:pPr>
      <w:r w:rsidRPr="00BB2689">
        <w:rPr>
          <w:rFonts w:cs="Arial"/>
          <w:bCs/>
          <w:i/>
          <w:color w:val="000000"/>
          <w:lang w:val="fr-BE"/>
        </w:rPr>
        <w:t xml:space="preserve">Durée de validité : </w:t>
      </w:r>
      <w:r>
        <w:rPr>
          <w:rFonts w:cs="Arial"/>
          <w:i/>
          <w:lang w:val="fr-FR" w:eastAsia="nl-BE"/>
        </w:rPr>
        <w:t>1</w:t>
      </w:r>
      <w:r w:rsidRPr="001846BF">
        <w:rPr>
          <w:rFonts w:cs="Arial"/>
          <w:i/>
          <w:vertAlign w:val="superscript"/>
          <w:lang w:val="fr-FR" w:eastAsia="nl-BE"/>
        </w:rPr>
        <w:t>er</w:t>
      </w:r>
      <w:r>
        <w:rPr>
          <w:rFonts w:cs="Arial"/>
          <w:i/>
          <w:lang w:val="fr-FR" w:eastAsia="nl-BE"/>
        </w:rPr>
        <w:t xml:space="preserve"> juin 2009</w:t>
      </w:r>
      <w:r w:rsidRPr="00BB2689">
        <w:rPr>
          <w:rFonts w:cs="Arial"/>
          <w:i/>
          <w:lang w:val="fr-BE"/>
        </w:rPr>
        <w:t xml:space="preserve"> pour une </w:t>
      </w:r>
      <w:r w:rsidRPr="00BB2689">
        <w:rPr>
          <w:rFonts w:cs="Arial"/>
          <w:i/>
          <w:lang w:val="fr-BE" w:eastAsia="nl-BE"/>
        </w:rPr>
        <w:t>durée indéterminée</w:t>
      </w:r>
      <w:r w:rsidRPr="00BB2689">
        <w:rPr>
          <w:rFonts w:cs="Arial"/>
          <w:i/>
          <w:lang w:val="fr-BE"/>
        </w:rPr>
        <w:t>.</w:t>
      </w:r>
    </w:p>
    <w:p w:rsidR="00FA3326" w:rsidRDefault="00FA3326" w:rsidP="005A6961">
      <w:pPr>
        <w:ind w:left="284"/>
        <w:rPr>
          <w:b/>
          <w:lang w:val="fr-BE"/>
        </w:rPr>
      </w:pPr>
      <w:bookmarkStart w:id="21" w:name="_Toc349206040"/>
      <w:bookmarkStart w:id="22" w:name="_Toc359578830"/>
      <w:bookmarkStart w:id="23" w:name="_Toc395092753"/>
      <w:bookmarkStart w:id="24" w:name="_Toc401761172"/>
      <w:bookmarkStart w:id="25" w:name="_Toc349206039"/>
      <w:bookmarkStart w:id="26" w:name="_Toc395092751"/>
    </w:p>
    <w:p w:rsidR="00FA3326" w:rsidRPr="001846BF" w:rsidRDefault="00FA3326" w:rsidP="005A6961">
      <w:pPr>
        <w:ind w:left="284"/>
        <w:rPr>
          <w:b/>
          <w:lang w:val="fr-BE"/>
        </w:rPr>
      </w:pPr>
      <w:r w:rsidRPr="00881804">
        <w:rPr>
          <w:b/>
          <w:lang w:val="fr-BE"/>
        </w:rPr>
        <w:t>CCT</w:t>
      </w:r>
      <w:r w:rsidRPr="001846BF">
        <w:rPr>
          <w:b/>
          <w:lang w:val="fr-BE"/>
        </w:rPr>
        <w:t xml:space="preserve"> du 7 décembre 2011 (108.103)</w:t>
      </w:r>
      <w:bookmarkEnd w:id="21"/>
      <w:bookmarkEnd w:id="22"/>
      <w:bookmarkEnd w:id="23"/>
      <w:bookmarkEnd w:id="24"/>
    </w:p>
    <w:p w:rsidR="00FA3326" w:rsidRPr="001846BF" w:rsidRDefault="00FA3326" w:rsidP="005A6961">
      <w:pPr>
        <w:ind w:left="284"/>
        <w:rPr>
          <w:rFonts w:cs="Arial"/>
          <w:b/>
          <w:i/>
          <w:lang w:val="fr-BE"/>
        </w:rPr>
      </w:pPr>
      <w:r w:rsidRPr="001846BF">
        <w:rPr>
          <w:rFonts w:cs="Arial"/>
          <w:b/>
          <w:i/>
          <w:lang w:val="fr-BE"/>
        </w:rPr>
        <w:t xml:space="preserve">Assurance hospitalisation sectorielle </w:t>
      </w:r>
    </w:p>
    <w:p w:rsidR="00FA3326" w:rsidRPr="001846BF" w:rsidRDefault="00FA3326" w:rsidP="005A6961">
      <w:pPr>
        <w:ind w:left="284" w:right="284"/>
        <w:rPr>
          <w:rFonts w:eastAsia="ArialMT" w:cs="Arial"/>
          <w:lang w:val="fr-FR"/>
        </w:rPr>
      </w:pPr>
      <w:r>
        <w:rPr>
          <w:rFonts w:eastAsia="ArialMT" w:cs="Arial"/>
          <w:lang w:val="fr-FR"/>
        </w:rPr>
        <w:t>Tous les articles</w:t>
      </w:r>
    </w:p>
    <w:p w:rsidR="00FA3326" w:rsidRDefault="00FA3326" w:rsidP="005A6961">
      <w:pPr>
        <w:ind w:left="284"/>
        <w:rPr>
          <w:rFonts w:eastAsia="ArialMT" w:cs="Arial"/>
          <w:i/>
          <w:lang w:val="fr-BE"/>
        </w:rPr>
      </w:pPr>
      <w:r w:rsidRPr="00685838">
        <w:rPr>
          <w:rFonts w:cs="Arial"/>
          <w:i/>
          <w:lang w:val="fr-BE"/>
        </w:rPr>
        <w:t xml:space="preserve">Durée de validité : </w:t>
      </w:r>
      <w:r>
        <w:rPr>
          <w:rFonts w:cs="Arial"/>
          <w:i/>
          <w:lang w:val="fr-BE" w:eastAsia="nl-BE"/>
        </w:rPr>
        <w:t>7 décembre</w:t>
      </w:r>
      <w:r w:rsidRPr="00685838">
        <w:rPr>
          <w:rFonts w:cs="Arial"/>
          <w:i/>
          <w:lang w:val="fr-BE" w:eastAsia="nl-BE"/>
        </w:rPr>
        <w:t> 2011</w:t>
      </w:r>
      <w:r w:rsidRPr="00685838">
        <w:rPr>
          <w:rFonts w:eastAsia="ArialMT" w:cs="Arial"/>
          <w:i/>
          <w:lang w:val="fr-BE"/>
        </w:rPr>
        <w:t xml:space="preserve"> </w:t>
      </w:r>
      <w:r>
        <w:rPr>
          <w:rFonts w:eastAsia="ArialMT" w:cs="Arial"/>
          <w:i/>
          <w:lang w:val="fr-BE"/>
        </w:rPr>
        <w:t>pour une durée indéterminée.</w:t>
      </w:r>
    </w:p>
    <w:bookmarkEnd w:id="25"/>
    <w:bookmarkEnd w:id="26"/>
    <w:p w:rsidR="00FA3326" w:rsidRDefault="00FA3326" w:rsidP="005A6961">
      <w:pPr>
        <w:ind w:left="284"/>
        <w:rPr>
          <w:lang w:val="fr-BE"/>
        </w:rPr>
      </w:pPr>
    </w:p>
    <w:p w:rsidR="001A2667" w:rsidRPr="00D364DC" w:rsidRDefault="001A2667" w:rsidP="005A6961">
      <w:pPr>
        <w:ind w:left="284"/>
        <w:rPr>
          <w:rFonts w:cs="Arial"/>
          <w:b/>
          <w:bCs/>
          <w:u w:val="single"/>
          <w:lang w:val="fr-BE"/>
        </w:rPr>
      </w:pPr>
    </w:p>
    <w:p w:rsidR="00DB3F6E" w:rsidRPr="00DB3F6E" w:rsidRDefault="00DB3F6E" w:rsidP="00DB3F6E">
      <w:pPr>
        <w:rPr>
          <w:rFonts w:cs="Arial"/>
          <w:b/>
          <w:bCs/>
          <w:u w:val="single"/>
          <w:lang w:val="fr-FR"/>
        </w:rPr>
      </w:pPr>
      <w:r w:rsidRPr="00DB3F6E">
        <w:rPr>
          <w:rFonts w:cs="Arial"/>
          <w:b/>
          <w:bCs/>
          <w:u w:val="single"/>
          <w:lang w:val="fr-FR"/>
        </w:rPr>
        <w:t xml:space="preserve">Prime </w:t>
      </w:r>
      <w:r>
        <w:rPr>
          <w:rFonts w:cs="Arial"/>
          <w:b/>
          <w:bCs/>
          <w:u w:val="single"/>
          <w:lang w:val="fr-FR"/>
        </w:rPr>
        <w:t>t</w:t>
      </w:r>
      <w:r w:rsidRPr="00DB3F6E">
        <w:rPr>
          <w:rFonts w:cs="Arial"/>
          <w:b/>
          <w:bCs/>
          <w:u w:val="single"/>
          <w:lang w:val="fr-FR"/>
        </w:rPr>
        <w:t>ravail en équipes</w:t>
      </w:r>
    </w:p>
    <w:p w:rsidR="004B0789" w:rsidRDefault="004B0789" w:rsidP="001846BF">
      <w:pPr>
        <w:pStyle w:val="Kop1"/>
        <w:rPr>
          <w:rFonts w:cs="Arial"/>
        </w:rPr>
      </w:pPr>
    </w:p>
    <w:p w:rsidR="004C6EBC" w:rsidRDefault="004C6EBC" w:rsidP="005A6961">
      <w:pPr>
        <w:pStyle w:val="Kop1"/>
        <w:ind w:left="284"/>
        <w:rPr>
          <w:u w:val="none"/>
        </w:rPr>
      </w:pPr>
      <w:bookmarkStart w:id="27" w:name="_Toc25654207"/>
      <w:r w:rsidRPr="00CE1A3E">
        <w:rPr>
          <w:u w:val="none"/>
        </w:rPr>
        <w:t xml:space="preserve">CCT du 26 juin 2019 </w:t>
      </w:r>
      <w:r>
        <w:rPr>
          <w:u w:val="none"/>
        </w:rPr>
        <w:t>(153.297)</w:t>
      </w:r>
      <w:bookmarkEnd w:id="27"/>
    </w:p>
    <w:p w:rsidR="004C6EBC" w:rsidRDefault="004C6EBC" w:rsidP="005A6961">
      <w:pPr>
        <w:ind w:left="284"/>
        <w:rPr>
          <w:b/>
          <w:i/>
          <w:lang w:val="fr-FR"/>
        </w:rPr>
      </w:pPr>
      <w:r>
        <w:rPr>
          <w:b/>
          <w:i/>
          <w:lang w:val="fr-FR"/>
        </w:rPr>
        <w:t>Conditions de travail</w:t>
      </w:r>
    </w:p>
    <w:p w:rsidR="004C6EBC" w:rsidRPr="005A6961" w:rsidRDefault="004C6EBC" w:rsidP="005A6961">
      <w:pPr>
        <w:ind w:left="284"/>
        <w:rPr>
          <w:lang w:val="fr-FR"/>
        </w:rPr>
      </w:pPr>
      <w:r w:rsidRPr="005A6961">
        <w:rPr>
          <w:lang w:val="fr-FR"/>
        </w:rPr>
        <w:t>Article 1,2</w:t>
      </w:r>
      <w:r w:rsidR="00402270" w:rsidRPr="005A6961">
        <w:rPr>
          <w:lang w:val="fr-FR"/>
        </w:rPr>
        <w:t>,15 et 16</w:t>
      </w:r>
    </w:p>
    <w:p w:rsidR="004C6EBC" w:rsidRDefault="004C6EBC" w:rsidP="005A6961">
      <w:pPr>
        <w:ind w:left="284"/>
        <w:rPr>
          <w:rFonts w:cs="Arial"/>
          <w:i/>
          <w:lang w:val="fr-FR"/>
        </w:rPr>
      </w:pPr>
      <w:r w:rsidRPr="00734836">
        <w:rPr>
          <w:rFonts w:cs="Arial"/>
          <w:bCs/>
          <w:i/>
          <w:lang w:val="fr-FR"/>
        </w:rPr>
        <w:t xml:space="preserve">Durée de validité : </w:t>
      </w:r>
      <w:r w:rsidRPr="00734836">
        <w:rPr>
          <w:rFonts w:cs="Arial"/>
          <w:i/>
          <w:lang w:val="fr-FR"/>
        </w:rPr>
        <w:t>1</w:t>
      </w:r>
      <w:r w:rsidRPr="00F0078F">
        <w:rPr>
          <w:rFonts w:cs="Arial"/>
          <w:i/>
          <w:vertAlign w:val="superscript"/>
          <w:lang w:val="fr-FR"/>
        </w:rPr>
        <w:t>er</w:t>
      </w:r>
      <w:r w:rsidRPr="00734836">
        <w:rPr>
          <w:rFonts w:cs="Arial"/>
          <w:i/>
          <w:lang w:val="fr-FR"/>
        </w:rPr>
        <w:t xml:space="preserve"> </w:t>
      </w:r>
      <w:r w:rsidR="00077699">
        <w:rPr>
          <w:rFonts w:cs="Arial"/>
          <w:i/>
          <w:lang w:val="fr-FR"/>
        </w:rPr>
        <w:t xml:space="preserve">septembre </w:t>
      </w:r>
      <w:r w:rsidRPr="00734836">
        <w:rPr>
          <w:rFonts w:cs="Arial"/>
          <w:i/>
          <w:lang w:val="fr-FR"/>
        </w:rPr>
        <w:t>201</w:t>
      </w:r>
      <w:r w:rsidRPr="008C295F">
        <w:rPr>
          <w:rFonts w:cs="Arial"/>
          <w:i/>
          <w:lang w:val="fr-FR"/>
        </w:rPr>
        <w:t>9</w:t>
      </w:r>
      <w:r w:rsidRPr="00734836">
        <w:rPr>
          <w:rFonts w:cs="Arial"/>
          <w:i/>
          <w:lang w:val="fr-FR"/>
        </w:rPr>
        <w:t xml:space="preserve"> jusqu’au 31 décembre 20</w:t>
      </w:r>
      <w:r w:rsidRPr="008C295F">
        <w:rPr>
          <w:rFonts w:cs="Arial"/>
          <w:i/>
          <w:lang w:val="fr-FR"/>
        </w:rPr>
        <w:t>20</w:t>
      </w:r>
    </w:p>
    <w:p w:rsidR="004B0789" w:rsidRDefault="004B0789" w:rsidP="001846BF">
      <w:pPr>
        <w:pStyle w:val="Kop1"/>
        <w:rPr>
          <w:rFonts w:cs="Arial"/>
        </w:rPr>
      </w:pPr>
    </w:p>
    <w:p w:rsidR="004B0789" w:rsidRDefault="004B0789" w:rsidP="001846BF">
      <w:pPr>
        <w:pStyle w:val="Kop1"/>
        <w:rPr>
          <w:rFonts w:cs="Arial"/>
        </w:rPr>
      </w:pPr>
    </w:p>
    <w:p w:rsidR="001846BF" w:rsidRPr="00561996" w:rsidRDefault="001846BF" w:rsidP="001846BF">
      <w:pPr>
        <w:pStyle w:val="Kop1"/>
        <w:rPr>
          <w:rFonts w:cs="Arial"/>
        </w:rPr>
      </w:pPr>
      <w:bookmarkStart w:id="28" w:name="_Toc25654208"/>
      <w:r>
        <w:rPr>
          <w:rFonts w:cs="Arial"/>
        </w:rPr>
        <w:t>Frais de transport</w:t>
      </w:r>
      <w:bookmarkEnd w:id="28"/>
    </w:p>
    <w:p w:rsidR="0019478D" w:rsidRDefault="0019478D">
      <w:pPr>
        <w:rPr>
          <w:rFonts w:cs="Arial"/>
          <w:i/>
          <w:lang w:val="fr-BE"/>
        </w:rPr>
      </w:pPr>
    </w:p>
    <w:p w:rsidR="0019478D" w:rsidRPr="001846BF" w:rsidRDefault="0019478D" w:rsidP="005A6961">
      <w:pPr>
        <w:ind w:left="284"/>
        <w:rPr>
          <w:rFonts w:cs="Arial"/>
          <w:b/>
          <w:lang w:val="fr-FR"/>
        </w:rPr>
      </w:pPr>
      <w:r w:rsidRPr="001846BF">
        <w:rPr>
          <w:rFonts w:cs="Arial"/>
          <w:b/>
          <w:lang w:val="fr-FR"/>
        </w:rPr>
        <w:t>CCT du 2</w:t>
      </w:r>
      <w:r w:rsidR="00402270">
        <w:rPr>
          <w:rFonts w:cs="Arial"/>
          <w:b/>
          <w:lang w:val="fr-FR"/>
        </w:rPr>
        <w:t>6</w:t>
      </w:r>
      <w:r w:rsidRPr="001846BF">
        <w:rPr>
          <w:rFonts w:cs="Arial"/>
          <w:b/>
          <w:lang w:val="fr-FR"/>
        </w:rPr>
        <w:t xml:space="preserve"> </w:t>
      </w:r>
      <w:r w:rsidR="00402270">
        <w:rPr>
          <w:rFonts w:cs="Arial"/>
          <w:b/>
          <w:lang w:val="fr-FR"/>
        </w:rPr>
        <w:t>juin</w:t>
      </w:r>
      <w:r>
        <w:rPr>
          <w:rFonts w:cs="Arial"/>
          <w:b/>
          <w:lang w:val="fr-FR"/>
        </w:rPr>
        <w:t xml:space="preserve"> 201</w:t>
      </w:r>
      <w:r w:rsidR="00402270">
        <w:rPr>
          <w:rFonts w:cs="Arial"/>
          <w:b/>
          <w:lang w:val="fr-FR"/>
        </w:rPr>
        <w:t>9</w:t>
      </w:r>
      <w:r>
        <w:rPr>
          <w:rFonts w:cs="Arial"/>
          <w:b/>
          <w:lang w:val="fr-FR"/>
        </w:rPr>
        <w:t xml:space="preserve"> (1</w:t>
      </w:r>
      <w:r w:rsidR="00402270">
        <w:rPr>
          <w:rFonts w:cs="Arial"/>
          <w:b/>
          <w:lang w:val="fr-FR"/>
        </w:rPr>
        <w:t>53</w:t>
      </w:r>
      <w:r>
        <w:rPr>
          <w:rFonts w:cs="Arial"/>
          <w:b/>
          <w:lang w:val="fr-FR"/>
        </w:rPr>
        <w:t>.29</w:t>
      </w:r>
      <w:r w:rsidR="00402270">
        <w:rPr>
          <w:rFonts w:cs="Arial"/>
          <w:b/>
          <w:lang w:val="fr-FR"/>
        </w:rPr>
        <w:t>8</w:t>
      </w:r>
      <w:r>
        <w:rPr>
          <w:rFonts w:cs="Arial"/>
          <w:b/>
          <w:lang w:val="fr-FR"/>
        </w:rPr>
        <w:t>)</w:t>
      </w:r>
    </w:p>
    <w:p w:rsidR="0019478D" w:rsidRPr="001846BF" w:rsidRDefault="00402270" w:rsidP="005A6961">
      <w:pPr>
        <w:ind w:left="284"/>
        <w:rPr>
          <w:b/>
          <w:i/>
          <w:lang w:val="fr-BE"/>
        </w:rPr>
      </w:pPr>
      <w:r>
        <w:rPr>
          <w:b/>
          <w:i/>
          <w:lang w:val="fr-BE"/>
        </w:rPr>
        <w:t>Fr</w:t>
      </w:r>
      <w:r w:rsidR="0019478D" w:rsidRPr="001846BF">
        <w:rPr>
          <w:b/>
          <w:i/>
          <w:lang w:val="fr-BE"/>
        </w:rPr>
        <w:t xml:space="preserve">ais de transport </w:t>
      </w:r>
    </w:p>
    <w:p w:rsidR="0019478D" w:rsidRPr="00AF371A" w:rsidRDefault="0019478D" w:rsidP="005A6961">
      <w:pPr>
        <w:ind w:left="284"/>
        <w:rPr>
          <w:rFonts w:cs="Arial"/>
          <w:i/>
          <w:lang w:val="fr-BE"/>
        </w:rPr>
      </w:pPr>
      <w:r w:rsidRPr="00AF371A">
        <w:rPr>
          <w:rFonts w:cs="Arial"/>
          <w:lang w:val="fr-BE"/>
        </w:rPr>
        <w:t>Tous les articles</w:t>
      </w:r>
      <w:r>
        <w:rPr>
          <w:rFonts w:cs="Arial"/>
          <w:lang w:val="fr-BE"/>
        </w:rPr>
        <w:t xml:space="preserve">. </w:t>
      </w:r>
    </w:p>
    <w:p w:rsidR="0019478D" w:rsidRDefault="0019478D" w:rsidP="005A6961">
      <w:pPr>
        <w:ind w:left="284"/>
        <w:rPr>
          <w:rFonts w:cs="Arial"/>
          <w:i/>
          <w:lang w:val="fr-BE"/>
        </w:rPr>
      </w:pPr>
      <w:r w:rsidRPr="00BB2689">
        <w:rPr>
          <w:rFonts w:cs="Arial"/>
          <w:i/>
          <w:lang w:val="fr-BE"/>
        </w:rPr>
        <w:t xml:space="preserve">Durée de validité : </w:t>
      </w:r>
      <w:r w:rsidR="00402270">
        <w:rPr>
          <w:rFonts w:cs="Arial"/>
          <w:i/>
          <w:lang w:val="fr-BE"/>
        </w:rPr>
        <w:t>1</w:t>
      </w:r>
      <w:r w:rsidR="00402270" w:rsidRPr="00402270">
        <w:rPr>
          <w:rFonts w:cs="Arial"/>
          <w:i/>
          <w:vertAlign w:val="superscript"/>
          <w:lang w:val="fr-BE"/>
        </w:rPr>
        <w:t>er</w:t>
      </w:r>
      <w:r w:rsidR="00402270">
        <w:rPr>
          <w:rFonts w:cs="Arial"/>
          <w:i/>
          <w:lang w:val="fr-BE"/>
        </w:rPr>
        <w:t xml:space="preserve"> septembre </w:t>
      </w:r>
      <w:r>
        <w:rPr>
          <w:rFonts w:cs="Arial"/>
          <w:i/>
          <w:lang w:val="fr-FR" w:eastAsia="nl-BE"/>
        </w:rPr>
        <w:t>201</w:t>
      </w:r>
      <w:r w:rsidR="00402270">
        <w:rPr>
          <w:rFonts w:cs="Arial"/>
          <w:i/>
          <w:lang w:val="fr-FR" w:eastAsia="nl-BE"/>
        </w:rPr>
        <w:t>9</w:t>
      </w:r>
      <w:r w:rsidRPr="00BB2689">
        <w:rPr>
          <w:rFonts w:cs="Arial"/>
          <w:i/>
          <w:lang w:val="fr-BE" w:eastAsia="nl-BE"/>
        </w:rPr>
        <w:t xml:space="preserve"> </w:t>
      </w:r>
      <w:r w:rsidRPr="00BB2689">
        <w:rPr>
          <w:rFonts w:cs="Arial"/>
          <w:i/>
          <w:lang w:val="fr-BE"/>
        </w:rPr>
        <w:t>pour une durée indéterminée.</w:t>
      </w:r>
    </w:p>
    <w:p w:rsidR="008D62D8" w:rsidRDefault="008D62D8" w:rsidP="005A6961">
      <w:pPr>
        <w:ind w:left="284"/>
        <w:rPr>
          <w:rFonts w:cs="Arial"/>
          <w:i/>
          <w:lang w:val="fr-BE"/>
        </w:rPr>
      </w:pPr>
    </w:p>
    <w:p w:rsidR="00D73362" w:rsidRDefault="00D73362" w:rsidP="00CF5B9B">
      <w:pPr>
        <w:ind w:left="142"/>
        <w:rPr>
          <w:rFonts w:cs="Arial"/>
          <w:i/>
          <w:lang w:val="fr-BE"/>
        </w:rPr>
      </w:pPr>
    </w:p>
    <w:p w:rsidR="00D73362" w:rsidRDefault="00D73362" w:rsidP="00D73362">
      <w:pPr>
        <w:pStyle w:val="Kop1"/>
        <w:rPr>
          <w:rFonts w:cs="Arial"/>
        </w:rPr>
      </w:pPr>
      <w:bookmarkStart w:id="29" w:name="_Toc25654209"/>
      <w:proofErr w:type="spellStart"/>
      <w:r w:rsidRPr="00D73362">
        <w:rPr>
          <w:rFonts w:cs="Arial"/>
        </w:rPr>
        <w:t>Indenité</w:t>
      </w:r>
      <w:proofErr w:type="spellEnd"/>
      <w:r w:rsidRPr="00D73362">
        <w:rPr>
          <w:rFonts w:cs="Arial"/>
        </w:rPr>
        <w:t xml:space="preserve"> de vélo</w:t>
      </w:r>
      <w:bookmarkEnd w:id="29"/>
    </w:p>
    <w:p w:rsidR="00D73362" w:rsidRDefault="00D73362" w:rsidP="00D73362">
      <w:pPr>
        <w:rPr>
          <w:lang w:val="fr-FR"/>
        </w:rPr>
      </w:pPr>
    </w:p>
    <w:p w:rsidR="00F0078F" w:rsidRPr="00734836" w:rsidRDefault="00F0078F" w:rsidP="005A6961">
      <w:pPr>
        <w:pStyle w:val="Fiches-DateCCTetn"/>
        <w:ind w:left="284"/>
      </w:pPr>
      <w:r w:rsidRPr="00734836">
        <w:t xml:space="preserve">CCT du 26 </w:t>
      </w:r>
      <w:r w:rsidR="001736D6">
        <w:t xml:space="preserve">juin </w:t>
      </w:r>
      <w:r w:rsidRPr="00734836">
        <w:t>2019 (153.350)</w:t>
      </w:r>
    </w:p>
    <w:p w:rsidR="00D73362" w:rsidRPr="00F0078F" w:rsidRDefault="00D73362" w:rsidP="005A6961">
      <w:pPr>
        <w:ind w:left="284"/>
        <w:rPr>
          <w:b/>
          <w:i/>
          <w:lang w:val="fr-BE"/>
        </w:rPr>
      </w:pPr>
      <w:r w:rsidRPr="00F0078F">
        <w:rPr>
          <w:b/>
          <w:i/>
          <w:lang w:val="fr-BE"/>
        </w:rPr>
        <w:t>Accord du paix sociale 2019-2020</w:t>
      </w:r>
    </w:p>
    <w:p w:rsidR="00D73362" w:rsidRPr="008C295F" w:rsidRDefault="00D73362" w:rsidP="005A6961">
      <w:pPr>
        <w:ind w:left="284"/>
        <w:rPr>
          <w:rFonts w:cs="Arial"/>
          <w:i/>
          <w:lang w:val="fr-FR"/>
        </w:rPr>
      </w:pPr>
      <w:r w:rsidRPr="008C295F">
        <w:rPr>
          <w:rFonts w:cs="Arial"/>
          <w:i/>
          <w:lang w:val="fr-FR"/>
        </w:rPr>
        <w:t>Article 1,2 et 7</w:t>
      </w:r>
    </w:p>
    <w:p w:rsidR="00D73362" w:rsidRPr="008C295F" w:rsidRDefault="00D73362" w:rsidP="005A6961">
      <w:pPr>
        <w:ind w:left="284"/>
        <w:rPr>
          <w:rFonts w:cs="Arial"/>
          <w:i/>
          <w:lang w:val="fr-FR"/>
        </w:rPr>
      </w:pPr>
      <w:r w:rsidRPr="00734836">
        <w:rPr>
          <w:rFonts w:cs="Arial"/>
          <w:bCs/>
          <w:i/>
          <w:lang w:val="fr-FR"/>
        </w:rPr>
        <w:t xml:space="preserve">Durée de validité : </w:t>
      </w:r>
      <w:r w:rsidRPr="00734836">
        <w:rPr>
          <w:rFonts w:cs="Arial"/>
          <w:i/>
          <w:lang w:val="fr-FR"/>
        </w:rPr>
        <w:t>1er janvier 201</w:t>
      </w:r>
      <w:r w:rsidRPr="008C295F">
        <w:rPr>
          <w:rFonts w:cs="Arial"/>
          <w:i/>
          <w:lang w:val="fr-FR"/>
        </w:rPr>
        <w:t>9</w:t>
      </w:r>
      <w:r w:rsidRPr="00734836">
        <w:rPr>
          <w:rFonts w:cs="Arial"/>
          <w:i/>
          <w:lang w:val="fr-FR"/>
        </w:rPr>
        <w:t xml:space="preserve"> jusqu’au 31 décembre 20</w:t>
      </w:r>
      <w:r w:rsidRPr="008C295F">
        <w:rPr>
          <w:rFonts w:cs="Arial"/>
          <w:i/>
          <w:lang w:val="fr-FR"/>
        </w:rPr>
        <w:t>20</w:t>
      </w:r>
    </w:p>
    <w:p w:rsidR="00D73362" w:rsidRDefault="00D73362" w:rsidP="005A6961">
      <w:pPr>
        <w:ind w:left="284"/>
        <w:rPr>
          <w:lang w:val="fr-FR"/>
        </w:rPr>
      </w:pPr>
    </w:p>
    <w:p w:rsidR="00402270" w:rsidRPr="001846BF" w:rsidRDefault="00402270" w:rsidP="005A6961">
      <w:pPr>
        <w:ind w:left="284"/>
        <w:rPr>
          <w:rFonts w:cs="Arial"/>
          <w:b/>
          <w:lang w:val="fr-FR"/>
        </w:rPr>
      </w:pPr>
      <w:r w:rsidRPr="001846BF">
        <w:rPr>
          <w:rFonts w:cs="Arial"/>
          <w:b/>
          <w:lang w:val="fr-FR"/>
        </w:rPr>
        <w:t>CCT du 2</w:t>
      </w:r>
      <w:r>
        <w:rPr>
          <w:rFonts w:cs="Arial"/>
          <w:b/>
          <w:lang w:val="fr-FR"/>
        </w:rPr>
        <w:t>6</w:t>
      </w:r>
      <w:r w:rsidRPr="001846BF">
        <w:rPr>
          <w:rFonts w:cs="Arial"/>
          <w:b/>
          <w:lang w:val="fr-FR"/>
        </w:rPr>
        <w:t xml:space="preserve"> </w:t>
      </w:r>
      <w:r>
        <w:rPr>
          <w:rFonts w:cs="Arial"/>
          <w:b/>
          <w:lang w:val="fr-FR"/>
        </w:rPr>
        <w:t>juin 2019 (153.298)</w:t>
      </w:r>
    </w:p>
    <w:p w:rsidR="00402270" w:rsidRPr="001846BF" w:rsidRDefault="00402270" w:rsidP="005A6961">
      <w:pPr>
        <w:ind w:left="284"/>
        <w:rPr>
          <w:b/>
          <w:i/>
          <w:lang w:val="fr-BE"/>
        </w:rPr>
      </w:pPr>
      <w:r>
        <w:rPr>
          <w:b/>
          <w:i/>
          <w:lang w:val="fr-BE"/>
        </w:rPr>
        <w:t>F</w:t>
      </w:r>
      <w:r w:rsidRPr="001846BF">
        <w:rPr>
          <w:b/>
          <w:i/>
          <w:lang w:val="fr-BE"/>
        </w:rPr>
        <w:t xml:space="preserve">rais de transport </w:t>
      </w:r>
    </w:p>
    <w:p w:rsidR="00402270" w:rsidRPr="00AF371A" w:rsidRDefault="00402270" w:rsidP="005A6961">
      <w:pPr>
        <w:ind w:left="284"/>
        <w:rPr>
          <w:rFonts w:cs="Arial"/>
          <w:i/>
          <w:lang w:val="fr-BE"/>
        </w:rPr>
      </w:pPr>
      <w:r>
        <w:rPr>
          <w:rFonts w:cs="Arial"/>
          <w:lang w:val="fr-BE"/>
        </w:rPr>
        <w:t>Articles 1,2 et</w:t>
      </w:r>
      <w:r w:rsidR="0052642D">
        <w:rPr>
          <w:rFonts w:cs="Arial"/>
          <w:lang w:val="fr-BE"/>
        </w:rPr>
        <w:t xml:space="preserve"> </w:t>
      </w:r>
      <w:bookmarkStart w:id="30" w:name="_GoBack"/>
      <w:bookmarkEnd w:id="30"/>
      <w:r w:rsidR="0052642D">
        <w:rPr>
          <w:rFonts w:cs="Arial"/>
          <w:lang w:val="fr-BE"/>
        </w:rPr>
        <w:t>12</w:t>
      </w:r>
      <w:r>
        <w:rPr>
          <w:rFonts w:cs="Arial"/>
          <w:lang w:val="fr-BE"/>
        </w:rPr>
        <w:t xml:space="preserve">. </w:t>
      </w:r>
    </w:p>
    <w:p w:rsidR="00402270" w:rsidRPr="00402270" w:rsidRDefault="00402270" w:rsidP="005A6961">
      <w:pPr>
        <w:tabs>
          <w:tab w:val="right" w:pos="9203"/>
        </w:tabs>
        <w:ind w:left="284"/>
        <w:rPr>
          <w:lang w:val="fr-BE"/>
        </w:rPr>
      </w:pPr>
      <w:r w:rsidRPr="00BB2689">
        <w:rPr>
          <w:rFonts w:cs="Arial"/>
          <w:i/>
          <w:lang w:val="fr-BE"/>
        </w:rPr>
        <w:t xml:space="preserve">Durée de validité : </w:t>
      </w:r>
      <w:r>
        <w:rPr>
          <w:rFonts w:cs="Arial"/>
          <w:i/>
          <w:lang w:val="fr-BE"/>
        </w:rPr>
        <w:t>1</w:t>
      </w:r>
      <w:r w:rsidRPr="00402270">
        <w:rPr>
          <w:rFonts w:cs="Arial"/>
          <w:i/>
          <w:vertAlign w:val="superscript"/>
          <w:lang w:val="fr-BE"/>
        </w:rPr>
        <w:t>er</w:t>
      </w:r>
      <w:r>
        <w:rPr>
          <w:rFonts w:cs="Arial"/>
          <w:i/>
          <w:lang w:val="fr-BE"/>
        </w:rPr>
        <w:t xml:space="preserve"> septembre </w:t>
      </w:r>
      <w:r>
        <w:rPr>
          <w:rFonts w:cs="Arial"/>
          <w:i/>
          <w:lang w:val="fr-FR" w:eastAsia="nl-BE"/>
        </w:rPr>
        <w:t>2019</w:t>
      </w:r>
      <w:r w:rsidRPr="00BB2689">
        <w:rPr>
          <w:rFonts w:cs="Arial"/>
          <w:i/>
          <w:lang w:val="fr-BE" w:eastAsia="nl-BE"/>
        </w:rPr>
        <w:t xml:space="preserve"> </w:t>
      </w:r>
      <w:r w:rsidRPr="00BB2689">
        <w:rPr>
          <w:rFonts w:cs="Arial"/>
          <w:i/>
          <w:lang w:val="fr-BE"/>
        </w:rPr>
        <w:t>pour une durée indéterminée.</w:t>
      </w:r>
      <w:r w:rsidR="005A6961">
        <w:rPr>
          <w:rFonts w:cs="Arial"/>
          <w:i/>
          <w:lang w:val="fr-BE"/>
        </w:rPr>
        <w:tab/>
      </w:r>
    </w:p>
    <w:sectPr w:rsidR="00402270" w:rsidRPr="00402270">
      <w:headerReference w:type="default" r:id="rId10"/>
      <w:footerReference w:type="default" r:id="rId11"/>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BA6" w:rsidRDefault="00E93BA6" w:rsidP="00701E44">
      <w:r>
        <w:separator/>
      </w:r>
    </w:p>
  </w:endnote>
  <w:endnote w:type="continuationSeparator" w:id="0">
    <w:p w:rsidR="00E93BA6" w:rsidRDefault="00E93BA6" w:rsidP="0070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DC" w:rsidRPr="006E0CCA" w:rsidRDefault="000119DC">
    <w:pPr>
      <w:pStyle w:val="Voettekst"/>
      <w:rPr>
        <w:rFonts w:cs="Arial"/>
      </w:rPr>
    </w:pPr>
    <w:r>
      <w:rPr>
        <w:rFonts w:cs="Arial"/>
      </w:rPr>
      <w:t>Primes</w:t>
    </w:r>
    <w:r w:rsidRPr="006E0CCA">
      <w:rPr>
        <w:rFonts w:cs="Arial"/>
      </w:rPr>
      <w:tab/>
    </w:r>
    <w:r w:rsidRPr="006E0CCA">
      <w:rPr>
        <w:rFonts w:cs="Arial"/>
      </w:rPr>
      <w:tab/>
    </w:r>
    <w:r w:rsidRPr="006E0CCA">
      <w:rPr>
        <w:rFonts w:cs="Arial"/>
      </w:rPr>
      <w:fldChar w:fldCharType="begin"/>
    </w:r>
    <w:r w:rsidRPr="006E0CCA">
      <w:rPr>
        <w:rFonts w:cs="Arial"/>
      </w:rPr>
      <w:instrText xml:space="preserve"> PAGE   \* MERGEFORMAT </w:instrText>
    </w:r>
    <w:r w:rsidRPr="006E0CCA">
      <w:rPr>
        <w:rFonts w:cs="Arial"/>
      </w:rPr>
      <w:fldChar w:fldCharType="separate"/>
    </w:r>
    <w:r w:rsidR="00D364DC">
      <w:rPr>
        <w:rFonts w:cs="Arial"/>
        <w:noProof/>
      </w:rPr>
      <w:t>1</w:t>
    </w:r>
    <w:r w:rsidRPr="006E0CCA">
      <w:rPr>
        <w:rFonts w:cs="Arial"/>
      </w:rPr>
      <w:fldChar w:fldCharType="end"/>
    </w:r>
  </w:p>
  <w:p w:rsidR="000119DC" w:rsidRDefault="000119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BA6" w:rsidRDefault="00E93BA6" w:rsidP="00701E44">
      <w:r>
        <w:separator/>
      </w:r>
    </w:p>
  </w:footnote>
  <w:footnote w:type="continuationSeparator" w:id="0">
    <w:p w:rsidR="00E93BA6" w:rsidRDefault="00E93BA6" w:rsidP="0070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5"/>
      <w:gridCol w:w="4278"/>
    </w:tblGrid>
    <w:tr w:rsidR="00337F58" w:rsidRPr="008004D0" w:rsidTr="00CC0FFB">
      <w:trPr>
        <w:cantSplit/>
        <w:trHeight w:hRule="exact" w:val="993"/>
      </w:trPr>
      <w:tc>
        <w:tcPr>
          <w:tcW w:w="4928" w:type="dxa"/>
          <w:tcBorders>
            <w:top w:val="nil"/>
            <w:left w:val="nil"/>
            <w:bottom w:val="nil"/>
            <w:right w:val="nil"/>
          </w:tcBorders>
        </w:tcPr>
        <w:p w:rsidR="00337F58" w:rsidRDefault="00233068" w:rsidP="00CC0FFB">
          <w:pPr>
            <w:rPr>
              <w:rFonts w:cs="Arial"/>
              <w:sz w:val="20"/>
            </w:rPr>
          </w:pPr>
          <w:r>
            <w:rPr>
              <w:rFonts w:cs="Arial"/>
              <w:noProof/>
              <w:sz w:val="20"/>
              <w:lang w:val="nl-BE" w:eastAsia="nl-BE"/>
            </w:rPr>
            <w:drawing>
              <wp:inline distT="0" distB="0" distL="0" distR="0" wp14:anchorId="1C00322B" wp14:editId="4E915EFB">
                <wp:extent cx="2209800" cy="581025"/>
                <wp:effectExtent l="0" t="0" r="0" b="9525"/>
                <wp:docPr id="1" name="Afbeelding 1" descr="DAX-S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AX-SPF.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81025"/>
                        </a:xfrm>
                        <a:prstGeom prst="rect">
                          <a:avLst/>
                        </a:prstGeom>
                        <a:noFill/>
                        <a:ln>
                          <a:noFill/>
                        </a:ln>
                      </pic:spPr>
                    </pic:pic>
                  </a:graphicData>
                </a:graphic>
              </wp:inline>
            </w:drawing>
          </w:r>
        </w:p>
      </w:tc>
      <w:tc>
        <w:tcPr>
          <w:tcW w:w="4284" w:type="dxa"/>
          <w:tcBorders>
            <w:top w:val="nil"/>
            <w:left w:val="nil"/>
            <w:bottom w:val="nil"/>
            <w:right w:val="nil"/>
          </w:tcBorders>
        </w:tcPr>
        <w:p w:rsidR="00FA3326" w:rsidRPr="00FA3326" w:rsidRDefault="00FA3326" w:rsidP="00A65AD8">
          <w:pPr>
            <w:jc w:val="right"/>
            <w:rPr>
              <w:rFonts w:cs="Arial"/>
              <w:noProof/>
              <w:lang w:val="fr-BE"/>
            </w:rPr>
          </w:pPr>
          <w:r w:rsidRPr="00FA3326">
            <w:rPr>
              <w:rFonts w:cs="Arial"/>
              <w:noProof/>
              <w:lang w:val="fr-BE"/>
            </w:rPr>
            <w:t xml:space="preserve">Date de validité: </w:t>
          </w:r>
          <w:sdt>
            <w:sdtPr>
              <w:rPr>
                <w:rFonts w:cs="Arial"/>
                <w:noProof/>
                <w:lang w:val="fr-BE"/>
              </w:rPr>
              <w:id w:val="-998567747"/>
              <w:placeholder>
                <w:docPart w:val="DefaultPlaceholder_-1854013438"/>
              </w:placeholder>
              <w:date w:fullDate="2019-09-01T00:00:00Z">
                <w:dateFormat w:val="d/MM/yyyy"/>
                <w:lid w:val="fr-BE"/>
                <w:storeMappedDataAs w:val="dateTime"/>
                <w:calendar w:val="gregorian"/>
              </w:date>
            </w:sdtPr>
            <w:sdtEndPr/>
            <w:sdtContent>
              <w:r w:rsidR="00B53FBD">
                <w:rPr>
                  <w:rFonts w:cs="Arial"/>
                  <w:noProof/>
                  <w:lang w:val="fr-BE"/>
                </w:rPr>
                <w:t>1/09/2019</w:t>
              </w:r>
            </w:sdtContent>
          </w:sdt>
        </w:p>
        <w:p w:rsidR="00337F58" w:rsidRPr="00FA3326" w:rsidRDefault="00337F58" w:rsidP="00D364DC">
          <w:pPr>
            <w:jc w:val="right"/>
            <w:rPr>
              <w:rFonts w:cs="Arial"/>
              <w:sz w:val="20"/>
              <w:lang w:val="fr-BE"/>
            </w:rPr>
          </w:pPr>
          <w:r w:rsidRPr="00FA3326">
            <w:rPr>
              <w:rFonts w:cs="Arial"/>
              <w:noProof/>
              <w:lang w:val="fr-BE"/>
            </w:rPr>
            <w:t>Dernière adaptation</w:t>
          </w:r>
          <w:r w:rsidR="00FA3326" w:rsidRPr="00FA3326">
            <w:rPr>
              <w:rFonts w:cs="Arial"/>
              <w:noProof/>
              <w:lang w:val="fr-BE"/>
            </w:rPr>
            <w:t>:</w:t>
          </w:r>
          <w:r w:rsidR="00182864" w:rsidRPr="00FA3326">
            <w:rPr>
              <w:rFonts w:cs="Arial"/>
              <w:noProof/>
              <w:lang w:val="fr-BE"/>
            </w:rPr>
            <w:t xml:space="preserve"> </w:t>
          </w:r>
          <w:sdt>
            <w:sdtPr>
              <w:rPr>
                <w:rFonts w:cs="Arial"/>
                <w:noProof/>
                <w:lang w:val="fr-BE"/>
              </w:rPr>
              <w:id w:val="1976484247"/>
              <w:placeholder>
                <w:docPart w:val="DefaultPlaceholder_-1854013438"/>
              </w:placeholder>
              <w:date w:fullDate="2019-11-26T00:00:00Z">
                <w:dateFormat w:val="d/MM/yyyy"/>
                <w:lid w:val="fr-BE"/>
                <w:storeMappedDataAs w:val="dateTime"/>
                <w:calendar w:val="gregorian"/>
              </w:date>
            </w:sdtPr>
            <w:sdtEndPr/>
            <w:sdtContent>
              <w:r w:rsidR="005A6961">
                <w:rPr>
                  <w:rFonts w:cs="Arial"/>
                  <w:noProof/>
                  <w:lang w:val="fr-BE"/>
                </w:rPr>
                <w:t>26/11/2019</w:t>
              </w:r>
            </w:sdtContent>
          </w:sdt>
        </w:p>
      </w:tc>
    </w:tr>
  </w:tbl>
  <w:p w:rsidR="000119DC" w:rsidRPr="00FA3326" w:rsidRDefault="000119DC">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4C6D"/>
    <w:multiLevelType w:val="hybridMultilevel"/>
    <w:tmpl w:val="5478EDC0"/>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C6831"/>
    <w:multiLevelType w:val="hybridMultilevel"/>
    <w:tmpl w:val="D49E5FBA"/>
    <w:lvl w:ilvl="0" w:tplc="04130009">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B03C4"/>
    <w:multiLevelType w:val="hybridMultilevel"/>
    <w:tmpl w:val="6A141E0E"/>
    <w:lvl w:ilvl="0" w:tplc="04130009">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5D14BEB"/>
    <w:multiLevelType w:val="hybridMultilevel"/>
    <w:tmpl w:val="608C6504"/>
    <w:lvl w:ilvl="0" w:tplc="04130009">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8176BF"/>
    <w:multiLevelType w:val="hybridMultilevel"/>
    <w:tmpl w:val="83E69F5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E4C22"/>
    <w:multiLevelType w:val="hybridMultilevel"/>
    <w:tmpl w:val="0E5AE1B6"/>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8F43AB"/>
    <w:multiLevelType w:val="hybridMultilevel"/>
    <w:tmpl w:val="897CEB8C"/>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64C81"/>
    <w:multiLevelType w:val="hybridMultilevel"/>
    <w:tmpl w:val="803E6D4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D1"/>
    <w:rsid w:val="00004B45"/>
    <w:rsid w:val="000119DC"/>
    <w:rsid w:val="00013BBC"/>
    <w:rsid w:val="00014F43"/>
    <w:rsid w:val="000256AF"/>
    <w:rsid w:val="00040507"/>
    <w:rsid w:val="00067E98"/>
    <w:rsid w:val="0007196E"/>
    <w:rsid w:val="00077699"/>
    <w:rsid w:val="00081444"/>
    <w:rsid w:val="00094858"/>
    <w:rsid w:val="000A4D44"/>
    <w:rsid w:val="000D0719"/>
    <w:rsid w:val="000D334C"/>
    <w:rsid w:val="000D3560"/>
    <w:rsid w:val="000E609A"/>
    <w:rsid w:val="000F519F"/>
    <w:rsid w:val="001048AA"/>
    <w:rsid w:val="00107EA5"/>
    <w:rsid w:val="00111FAD"/>
    <w:rsid w:val="00134AE0"/>
    <w:rsid w:val="00134E0C"/>
    <w:rsid w:val="001376B3"/>
    <w:rsid w:val="00146701"/>
    <w:rsid w:val="00153F7A"/>
    <w:rsid w:val="001564C2"/>
    <w:rsid w:val="00161FDA"/>
    <w:rsid w:val="0017033C"/>
    <w:rsid w:val="0017353E"/>
    <w:rsid w:val="001736D6"/>
    <w:rsid w:val="0017622D"/>
    <w:rsid w:val="00182864"/>
    <w:rsid w:val="001846BF"/>
    <w:rsid w:val="0019478D"/>
    <w:rsid w:val="001A2667"/>
    <w:rsid w:val="001C0EEE"/>
    <w:rsid w:val="001C1139"/>
    <w:rsid w:val="001D2735"/>
    <w:rsid w:val="001D7129"/>
    <w:rsid w:val="00214321"/>
    <w:rsid w:val="00224080"/>
    <w:rsid w:val="00233068"/>
    <w:rsid w:val="00240D1D"/>
    <w:rsid w:val="00241EA7"/>
    <w:rsid w:val="002449E4"/>
    <w:rsid w:val="00250646"/>
    <w:rsid w:val="00274C73"/>
    <w:rsid w:val="00280A86"/>
    <w:rsid w:val="002C3412"/>
    <w:rsid w:val="002D0AF4"/>
    <w:rsid w:val="002D156D"/>
    <w:rsid w:val="002D4E0B"/>
    <w:rsid w:val="002F3967"/>
    <w:rsid w:val="002F65FA"/>
    <w:rsid w:val="00301DDE"/>
    <w:rsid w:val="003144CB"/>
    <w:rsid w:val="00337F58"/>
    <w:rsid w:val="00386BC4"/>
    <w:rsid w:val="003A124C"/>
    <w:rsid w:val="003A37CE"/>
    <w:rsid w:val="003C32C3"/>
    <w:rsid w:val="003C5F3A"/>
    <w:rsid w:val="003D4FBD"/>
    <w:rsid w:val="003E02CF"/>
    <w:rsid w:val="003E1FC6"/>
    <w:rsid w:val="00402270"/>
    <w:rsid w:val="00405FDF"/>
    <w:rsid w:val="00432ECD"/>
    <w:rsid w:val="00437EE2"/>
    <w:rsid w:val="0046566E"/>
    <w:rsid w:val="00470CE3"/>
    <w:rsid w:val="00480C87"/>
    <w:rsid w:val="00486294"/>
    <w:rsid w:val="00492F32"/>
    <w:rsid w:val="004B0789"/>
    <w:rsid w:val="004B186C"/>
    <w:rsid w:val="004C3375"/>
    <w:rsid w:val="004C6624"/>
    <w:rsid w:val="004C6EBC"/>
    <w:rsid w:val="004D7D55"/>
    <w:rsid w:val="004E14AC"/>
    <w:rsid w:val="004F1BDC"/>
    <w:rsid w:val="00524D28"/>
    <w:rsid w:val="0052642D"/>
    <w:rsid w:val="005305EB"/>
    <w:rsid w:val="00546F17"/>
    <w:rsid w:val="005470ED"/>
    <w:rsid w:val="0055040B"/>
    <w:rsid w:val="00554514"/>
    <w:rsid w:val="00555880"/>
    <w:rsid w:val="00561996"/>
    <w:rsid w:val="00577EE9"/>
    <w:rsid w:val="005A5DBB"/>
    <w:rsid w:val="005A68F5"/>
    <w:rsid w:val="005A6961"/>
    <w:rsid w:val="005B33B1"/>
    <w:rsid w:val="00600FCF"/>
    <w:rsid w:val="00612518"/>
    <w:rsid w:val="006530BF"/>
    <w:rsid w:val="00660A7E"/>
    <w:rsid w:val="0066365D"/>
    <w:rsid w:val="00685838"/>
    <w:rsid w:val="006874D4"/>
    <w:rsid w:val="006B29A5"/>
    <w:rsid w:val="006D67C2"/>
    <w:rsid w:val="006D6F62"/>
    <w:rsid w:val="006F0080"/>
    <w:rsid w:val="006F0386"/>
    <w:rsid w:val="00701E44"/>
    <w:rsid w:val="0070280B"/>
    <w:rsid w:val="00707C33"/>
    <w:rsid w:val="007153EE"/>
    <w:rsid w:val="00717FF4"/>
    <w:rsid w:val="00734836"/>
    <w:rsid w:val="00761B8B"/>
    <w:rsid w:val="00774593"/>
    <w:rsid w:val="00777CAA"/>
    <w:rsid w:val="00784F61"/>
    <w:rsid w:val="00785F4D"/>
    <w:rsid w:val="007A2358"/>
    <w:rsid w:val="007A408D"/>
    <w:rsid w:val="007C18FB"/>
    <w:rsid w:val="007C5A1A"/>
    <w:rsid w:val="007D530D"/>
    <w:rsid w:val="008004D0"/>
    <w:rsid w:val="0082391E"/>
    <w:rsid w:val="00826D4B"/>
    <w:rsid w:val="00842177"/>
    <w:rsid w:val="00846153"/>
    <w:rsid w:val="008570D6"/>
    <w:rsid w:val="00857415"/>
    <w:rsid w:val="00862742"/>
    <w:rsid w:val="0086316A"/>
    <w:rsid w:val="00867C84"/>
    <w:rsid w:val="008752FE"/>
    <w:rsid w:val="008779D1"/>
    <w:rsid w:val="00881804"/>
    <w:rsid w:val="008A3F69"/>
    <w:rsid w:val="008A78CF"/>
    <w:rsid w:val="008B5B4A"/>
    <w:rsid w:val="008B6E40"/>
    <w:rsid w:val="008C295F"/>
    <w:rsid w:val="008D3DAA"/>
    <w:rsid w:val="008D62D8"/>
    <w:rsid w:val="008F70DD"/>
    <w:rsid w:val="008F7299"/>
    <w:rsid w:val="009000C2"/>
    <w:rsid w:val="009105B4"/>
    <w:rsid w:val="00912C99"/>
    <w:rsid w:val="00926216"/>
    <w:rsid w:val="0094645C"/>
    <w:rsid w:val="00974DB6"/>
    <w:rsid w:val="009867F6"/>
    <w:rsid w:val="00996EE3"/>
    <w:rsid w:val="009A5EFE"/>
    <w:rsid w:val="009B009B"/>
    <w:rsid w:val="009B7C27"/>
    <w:rsid w:val="009C32B8"/>
    <w:rsid w:val="009D5B5F"/>
    <w:rsid w:val="009E30A0"/>
    <w:rsid w:val="009F3851"/>
    <w:rsid w:val="00A018C3"/>
    <w:rsid w:val="00A0306E"/>
    <w:rsid w:val="00A13FD7"/>
    <w:rsid w:val="00A16036"/>
    <w:rsid w:val="00A50C16"/>
    <w:rsid w:val="00A50C40"/>
    <w:rsid w:val="00A61550"/>
    <w:rsid w:val="00A6188D"/>
    <w:rsid w:val="00A65AD8"/>
    <w:rsid w:val="00A903C6"/>
    <w:rsid w:val="00AA011F"/>
    <w:rsid w:val="00AA7DD9"/>
    <w:rsid w:val="00AB3483"/>
    <w:rsid w:val="00AC44D1"/>
    <w:rsid w:val="00AC4DDB"/>
    <w:rsid w:val="00AC646C"/>
    <w:rsid w:val="00AC70DF"/>
    <w:rsid w:val="00AD1503"/>
    <w:rsid w:val="00AF371A"/>
    <w:rsid w:val="00B01318"/>
    <w:rsid w:val="00B01C44"/>
    <w:rsid w:val="00B0368E"/>
    <w:rsid w:val="00B10177"/>
    <w:rsid w:val="00B10E7E"/>
    <w:rsid w:val="00B30543"/>
    <w:rsid w:val="00B30D9D"/>
    <w:rsid w:val="00B40D04"/>
    <w:rsid w:val="00B5160B"/>
    <w:rsid w:val="00B53FBD"/>
    <w:rsid w:val="00B57E2C"/>
    <w:rsid w:val="00B700E7"/>
    <w:rsid w:val="00BB2689"/>
    <w:rsid w:val="00BB4BBE"/>
    <w:rsid w:val="00BC1B8B"/>
    <w:rsid w:val="00BC2710"/>
    <w:rsid w:val="00BC4F69"/>
    <w:rsid w:val="00BC67A7"/>
    <w:rsid w:val="00BD67F8"/>
    <w:rsid w:val="00BE479F"/>
    <w:rsid w:val="00BE72D8"/>
    <w:rsid w:val="00C00710"/>
    <w:rsid w:val="00C01E98"/>
    <w:rsid w:val="00C02CEA"/>
    <w:rsid w:val="00C10704"/>
    <w:rsid w:val="00C1375E"/>
    <w:rsid w:val="00C4290C"/>
    <w:rsid w:val="00C45383"/>
    <w:rsid w:val="00C7268D"/>
    <w:rsid w:val="00C80F6D"/>
    <w:rsid w:val="00C9719B"/>
    <w:rsid w:val="00CB2E0E"/>
    <w:rsid w:val="00CB3493"/>
    <w:rsid w:val="00CB44E4"/>
    <w:rsid w:val="00CC0FFB"/>
    <w:rsid w:val="00CC119B"/>
    <w:rsid w:val="00CC418F"/>
    <w:rsid w:val="00CC6FE9"/>
    <w:rsid w:val="00CD18FE"/>
    <w:rsid w:val="00CE1A3E"/>
    <w:rsid w:val="00CE7C80"/>
    <w:rsid w:val="00CF5B9B"/>
    <w:rsid w:val="00D21B4E"/>
    <w:rsid w:val="00D23927"/>
    <w:rsid w:val="00D364DC"/>
    <w:rsid w:val="00D3733D"/>
    <w:rsid w:val="00D57FD8"/>
    <w:rsid w:val="00D73362"/>
    <w:rsid w:val="00D82490"/>
    <w:rsid w:val="00D86FBB"/>
    <w:rsid w:val="00D90878"/>
    <w:rsid w:val="00DA5708"/>
    <w:rsid w:val="00DA75D3"/>
    <w:rsid w:val="00DB3F6E"/>
    <w:rsid w:val="00DB62A6"/>
    <w:rsid w:val="00DE30BF"/>
    <w:rsid w:val="00DE3CC9"/>
    <w:rsid w:val="00DE6402"/>
    <w:rsid w:val="00DF7E99"/>
    <w:rsid w:val="00E01BAA"/>
    <w:rsid w:val="00E30547"/>
    <w:rsid w:val="00E44B2C"/>
    <w:rsid w:val="00E4542E"/>
    <w:rsid w:val="00E47EC6"/>
    <w:rsid w:val="00E50721"/>
    <w:rsid w:val="00E5195D"/>
    <w:rsid w:val="00E5293E"/>
    <w:rsid w:val="00E5546A"/>
    <w:rsid w:val="00E751BB"/>
    <w:rsid w:val="00E81E42"/>
    <w:rsid w:val="00E919D3"/>
    <w:rsid w:val="00E93BA6"/>
    <w:rsid w:val="00EA21AF"/>
    <w:rsid w:val="00EE0E34"/>
    <w:rsid w:val="00F0078F"/>
    <w:rsid w:val="00F173E4"/>
    <w:rsid w:val="00F35812"/>
    <w:rsid w:val="00F37996"/>
    <w:rsid w:val="00F5522A"/>
    <w:rsid w:val="00F55E0D"/>
    <w:rsid w:val="00F742BA"/>
    <w:rsid w:val="00FA162F"/>
    <w:rsid w:val="00FA3326"/>
    <w:rsid w:val="00FA4025"/>
    <w:rsid w:val="00FB2EB4"/>
    <w:rsid w:val="00FC7874"/>
    <w:rsid w:val="00FE3AB8"/>
    <w:rsid w:val="00FF02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95F5E"/>
  <w15:docId w15:val="{EB5E3EF7-6D0A-4E91-B787-004D7E23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3BBC"/>
    <w:rPr>
      <w:rFonts w:ascii="Arial" w:hAnsi="Arial"/>
      <w:sz w:val="24"/>
      <w:szCs w:val="24"/>
      <w:lang w:val="nl-NL" w:eastAsia="nl-NL"/>
    </w:rPr>
  </w:style>
  <w:style w:type="paragraph" w:styleId="Kop1">
    <w:name w:val="heading 1"/>
    <w:basedOn w:val="Standaard"/>
    <w:next w:val="Standaard"/>
    <w:link w:val="Kop1Char"/>
    <w:qFormat/>
    <w:rsid w:val="00013BBC"/>
    <w:pPr>
      <w:keepNext/>
      <w:outlineLvl w:val="0"/>
    </w:pPr>
    <w:rPr>
      <w:b/>
      <w:bCs/>
      <w:u w:val="single"/>
      <w:lang w:val="fr-FR"/>
    </w:rPr>
  </w:style>
  <w:style w:type="paragraph" w:styleId="Kop2">
    <w:name w:val="heading 2"/>
    <w:basedOn w:val="Standaard"/>
    <w:next w:val="Standaard"/>
    <w:link w:val="Kop2Char"/>
    <w:qFormat/>
    <w:rsid w:val="00013BBC"/>
    <w:pPr>
      <w:keepNext/>
      <w:outlineLvl w:val="1"/>
    </w:pPr>
    <w:rPr>
      <w:b/>
      <w:bCs/>
      <w:lang w:val="fr-FR"/>
    </w:rPr>
  </w:style>
  <w:style w:type="paragraph" w:styleId="Kop3">
    <w:name w:val="heading 3"/>
    <w:basedOn w:val="Standaard"/>
    <w:next w:val="Standaard"/>
    <w:qFormat/>
    <w:pPr>
      <w:keepNext/>
      <w:outlineLvl w:val="2"/>
    </w:pPr>
    <w:rPr>
      <w:b/>
      <w:bCs/>
      <w:lang w:val="fr-FR"/>
    </w:rPr>
  </w:style>
  <w:style w:type="paragraph" w:styleId="Kop4">
    <w:name w:val="heading 4"/>
    <w:basedOn w:val="Standaard"/>
    <w:next w:val="Standaard"/>
    <w:qFormat/>
    <w:pPr>
      <w:autoSpaceDE w:val="0"/>
      <w:autoSpaceDN w:val="0"/>
      <w:adjustRightInd w:val="0"/>
      <w:outlineLvl w:val="3"/>
    </w:pPr>
    <w:rPr>
      <w:lang w:val="nl-BE"/>
    </w:rPr>
  </w:style>
  <w:style w:type="paragraph" w:styleId="Kop5">
    <w:name w:val="heading 5"/>
    <w:basedOn w:val="Standaard"/>
    <w:next w:val="Standaard"/>
    <w:qFormat/>
    <w:pPr>
      <w:keepNext/>
      <w:outlineLvl w:val="4"/>
    </w:pPr>
    <w:rPr>
      <w:b/>
      <w:bCs/>
      <w:sz w:val="22"/>
      <w:u w:val="single"/>
      <w:lang w:val="fr-FR"/>
    </w:rPr>
  </w:style>
  <w:style w:type="paragraph" w:styleId="Kop6">
    <w:name w:val="heading 6"/>
    <w:basedOn w:val="Standaard"/>
    <w:next w:val="Standaard"/>
    <w:qFormat/>
    <w:pPr>
      <w:keepNext/>
      <w:outlineLvl w:val="5"/>
    </w:pPr>
    <w:rPr>
      <w:rFonts w:cs="Arial"/>
      <w:b/>
      <w:bCs/>
      <w:sz w:val="20"/>
      <w:u w:val="single"/>
      <w:lang w:val="fr-FR"/>
    </w:rPr>
  </w:style>
  <w:style w:type="paragraph" w:styleId="Kop7">
    <w:name w:val="heading 7"/>
    <w:basedOn w:val="Standaard"/>
    <w:next w:val="Standaard"/>
    <w:qFormat/>
    <w:pPr>
      <w:keepNext/>
      <w:outlineLvl w:val="6"/>
    </w:pPr>
    <w:rPr>
      <w:rFonts w:cs="Arial"/>
      <w:sz w:val="20"/>
      <w:u w:val="single"/>
      <w:lang w:val="fr-FR"/>
    </w:rPr>
  </w:style>
  <w:style w:type="paragraph" w:styleId="Kop8">
    <w:name w:val="heading 8"/>
    <w:basedOn w:val="Standaard"/>
    <w:next w:val="Standaard"/>
    <w:link w:val="Kop8Char"/>
    <w:qFormat/>
    <w:pPr>
      <w:keepNext/>
      <w:ind w:right="-157"/>
      <w:outlineLvl w:val="7"/>
    </w:pPr>
    <w:rPr>
      <w:rFonts w:cs="Arial"/>
      <w:b/>
      <w:bCs/>
      <w:sz w:val="20"/>
      <w:u w:val="single"/>
      <w:lang w:val="fr-FR"/>
    </w:rPr>
  </w:style>
  <w:style w:type="paragraph" w:styleId="Kop9">
    <w:name w:val="heading 9"/>
    <w:basedOn w:val="Standaard"/>
    <w:next w:val="Standaard"/>
    <w:link w:val="Kop9Char"/>
    <w:qFormat/>
    <w:pPr>
      <w:autoSpaceDE w:val="0"/>
      <w:autoSpaceDN w:val="0"/>
      <w:adjustRightInd w:val="0"/>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sz w:val="28"/>
      <w:u w:val="single"/>
    </w:rPr>
  </w:style>
  <w:style w:type="paragraph" w:customStyle="1" w:styleId="a">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TML-voorafopgemaakt">
    <w:name w:val="HTML Preformatted"/>
    <w:aliases w:val=" vooraf opgemaakt"/>
    <w:basedOn w:val="Standaard"/>
    <w:link w:val="HTML-voorafopgemaaktChar"/>
    <w:semiHidden/>
    <w:rPr>
      <w:rFonts w:ascii="Courier New" w:hAnsi="Courier New" w:cs="Courier New"/>
      <w:sz w:val="20"/>
      <w:szCs w:val="20"/>
    </w:rPr>
  </w:style>
  <w:style w:type="paragraph" w:styleId="Plattetekst2">
    <w:name w:val="Body Text 2"/>
    <w:basedOn w:val="Standaard"/>
    <w:semiHidden/>
    <w:rPr>
      <w:rFonts w:cs="Arial"/>
      <w:sz w:val="20"/>
      <w:szCs w:val="20"/>
      <w:u w:val="single"/>
    </w:rPr>
  </w:style>
  <w:style w:type="paragraph" w:styleId="Plattetekst">
    <w:name w:val="Body Text"/>
    <w:basedOn w:val="Standaard"/>
    <w:link w:val="PlattetekstChar"/>
    <w:semiHidden/>
    <w:rPr>
      <w:rFonts w:ascii="Arial Unicode MS" w:hAnsi="Arial Unicode MS" w:cs="Arial Unicode MS"/>
      <w:color w:val="000000"/>
      <w:sz w:val="20"/>
    </w:rPr>
  </w:style>
  <w:style w:type="paragraph" w:styleId="Plattetekst3">
    <w:name w:val="Body Text 3"/>
    <w:basedOn w:val="Standaard"/>
    <w:semiHidden/>
    <w:rPr>
      <w:rFonts w:ascii="Arial Unicode MS" w:eastAsia="Arial Unicode MS" w:hAnsi="Arial Unicode MS" w:cs="Arial Unicode MS"/>
      <w:sz w:val="20"/>
    </w:rPr>
  </w:style>
  <w:style w:type="paragraph" w:customStyle="1" w:styleId="a0">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uiPriority w:val="99"/>
    <w:rPr>
      <w:color w:val="CC3333"/>
      <w:u w:val="single"/>
    </w:rPr>
  </w:style>
  <w:style w:type="paragraph" w:styleId="Plattetekstinspringen">
    <w:name w:val="Body Text Indent"/>
    <w:basedOn w:val="Standaard"/>
    <w:semiHidden/>
    <w:pPr>
      <w:spacing w:before="100" w:beforeAutospacing="1" w:after="100" w:afterAutospacing="1"/>
      <w:ind w:left="360"/>
    </w:pPr>
  </w:style>
  <w:style w:type="character" w:styleId="GevolgdeHyperlink">
    <w:name w:val="FollowedHyperlink"/>
    <w:semiHidden/>
    <w:rPr>
      <w:color w:val="800080"/>
      <w:u w:val="single"/>
    </w:rPr>
  </w:style>
  <w:style w:type="paragraph" w:customStyle="1" w:styleId="a1">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a2">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Kop8Char">
    <w:name w:val="Kop 8 Char"/>
    <w:link w:val="Kop8"/>
    <w:rsid w:val="00AC44D1"/>
    <w:rPr>
      <w:rFonts w:ascii="Arial" w:hAnsi="Arial" w:cs="Arial"/>
      <w:b/>
      <w:bCs/>
      <w:szCs w:val="24"/>
      <w:u w:val="single"/>
      <w:lang w:val="fr-FR" w:eastAsia="nl-NL"/>
    </w:rPr>
  </w:style>
  <w:style w:type="character" w:customStyle="1" w:styleId="Kop9Char">
    <w:name w:val="Kop 9 Char"/>
    <w:link w:val="Kop9"/>
    <w:rsid w:val="00AC44D1"/>
    <w:rPr>
      <w:rFonts w:ascii="Arial" w:hAnsi="Arial"/>
      <w:sz w:val="24"/>
      <w:szCs w:val="24"/>
      <w:lang w:eastAsia="nl-NL"/>
    </w:rPr>
  </w:style>
  <w:style w:type="character" w:styleId="Zwaar">
    <w:name w:val="Strong"/>
    <w:qFormat/>
    <w:rsid w:val="00AB3483"/>
    <w:rPr>
      <w:b/>
      <w:bCs/>
    </w:rPr>
  </w:style>
  <w:style w:type="character" w:customStyle="1" w:styleId="PlattetekstChar">
    <w:name w:val="Platte tekst Char"/>
    <w:link w:val="Plattetekst"/>
    <w:semiHidden/>
    <w:rsid w:val="00B5160B"/>
    <w:rPr>
      <w:rFonts w:ascii="Arial Unicode MS" w:hAnsi="Arial Unicode MS" w:cs="Arial Unicode MS"/>
      <w:color w:val="000000"/>
      <w:szCs w:val="24"/>
      <w:lang w:val="nl-NL" w:eastAsia="nl-NL"/>
    </w:rPr>
  </w:style>
  <w:style w:type="paragraph" w:styleId="Koptekst">
    <w:name w:val="header"/>
    <w:basedOn w:val="Standaard"/>
    <w:link w:val="KoptekstChar"/>
    <w:semiHidden/>
    <w:rsid w:val="002D0AF4"/>
    <w:pPr>
      <w:tabs>
        <w:tab w:val="center" w:pos="4536"/>
        <w:tab w:val="right" w:pos="9072"/>
      </w:tabs>
    </w:pPr>
  </w:style>
  <w:style w:type="character" w:customStyle="1" w:styleId="KoptekstChar">
    <w:name w:val="Koptekst Char"/>
    <w:link w:val="Koptekst"/>
    <w:semiHidden/>
    <w:rsid w:val="002D0AF4"/>
    <w:rPr>
      <w:sz w:val="24"/>
      <w:szCs w:val="24"/>
      <w:lang w:val="nl-NL" w:eastAsia="nl-NL"/>
    </w:rPr>
  </w:style>
  <w:style w:type="paragraph" w:styleId="Geenafstand">
    <w:name w:val="No Spacing"/>
    <w:uiPriority w:val="1"/>
    <w:qFormat/>
    <w:rsid w:val="002D0AF4"/>
    <w:rPr>
      <w:sz w:val="24"/>
      <w:lang w:val="fr-FR" w:eastAsia="en-US"/>
    </w:rPr>
  </w:style>
  <w:style w:type="paragraph" w:styleId="Bloktekst">
    <w:name w:val="Block Text"/>
    <w:basedOn w:val="Standaard"/>
    <w:semiHidden/>
    <w:rsid w:val="002D0AF4"/>
    <w:pPr>
      <w:ind w:left="142" w:right="284" w:hanging="142"/>
    </w:pPr>
    <w:rPr>
      <w:szCs w:val="20"/>
    </w:rPr>
  </w:style>
  <w:style w:type="paragraph" w:customStyle="1" w:styleId="Onderwerpvanopmerking1">
    <w:name w:val="Onderwerp van opmerking1"/>
    <w:basedOn w:val="Tekstopmerking"/>
    <w:next w:val="Tekstopmerking"/>
    <w:rsid w:val="002D0AF4"/>
    <w:pPr>
      <w:widowControl w:val="0"/>
      <w:autoSpaceDE w:val="0"/>
      <w:autoSpaceDN w:val="0"/>
      <w:adjustRightInd w:val="0"/>
    </w:pPr>
    <w:rPr>
      <w:b/>
      <w:bCs/>
      <w:lang w:val="en-US"/>
    </w:rPr>
  </w:style>
  <w:style w:type="paragraph" w:styleId="Tekstopmerking">
    <w:name w:val="annotation text"/>
    <w:basedOn w:val="Standaard"/>
    <w:link w:val="TekstopmerkingChar"/>
    <w:uiPriority w:val="99"/>
    <w:semiHidden/>
    <w:unhideWhenUsed/>
    <w:rsid w:val="002D0AF4"/>
    <w:rPr>
      <w:sz w:val="20"/>
      <w:szCs w:val="20"/>
    </w:rPr>
  </w:style>
  <w:style w:type="character" w:customStyle="1" w:styleId="TekstopmerkingChar">
    <w:name w:val="Tekst opmerking Char"/>
    <w:link w:val="Tekstopmerking"/>
    <w:uiPriority w:val="99"/>
    <w:semiHidden/>
    <w:rsid w:val="002D0AF4"/>
    <w:rPr>
      <w:lang w:val="nl-NL" w:eastAsia="nl-NL"/>
    </w:rPr>
  </w:style>
  <w:style w:type="character" w:customStyle="1" w:styleId="HTML-voorafopgemaaktChar">
    <w:name w:val="HTML - vooraf opgemaakt Char"/>
    <w:aliases w:val=" vooraf opgemaakt Char"/>
    <w:link w:val="HTML-voorafopgemaakt"/>
    <w:semiHidden/>
    <w:rsid w:val="00546F17"/>
    <w:rPr>
      <w:rFonts w:ascii="Courier New" w:hAnsi="Courier New" w:cs="Courier New"/>
      <w:lang w:val="nl-NL" w:eastAsia="nl-NL"/>
    </w:rPr>
  </w:style>
  <w:style w:type="paragraph" w:styleId="Kopvaninhoudsopgave">
    <w:name w:val="TOC Heading"/>
    <w:basedOn w:val="Kop1"/>
    <w:next w:val="Standaard"/>
    <w:uiPriority w:val="39"/>
    <w:semiHidden/>
    <w:unhideWhenUsed/>
    <w:qFormat/>
    <w:rsid w:val="00701E44"/>
    <w:pPr>
      <w:keepLines/>
      <w:spacing w:before="480" w:line="276" w:lineRule="auto"/>
      <w:outlineLvl w:val="9"/>
    </w:pPr>
    <w:rPr>
      <w:rFonts w:ascii="Cambria" w:hAnsi="Cambria"/>
      <w:color w:val="365F91"/>
      <w:szCs w:val="28"/>
      <w:lang w:val="nl-NL" w:eastAsia="en-US"/>
    </w:rPr>
  </w:style>
  <w:style w:type="paragraph" w:styleId="Inhopg1">
    <w:name w:val="toc 1"/>
    <w:basedOn w:val="Standaard"/>
    <w:next w:val="Standaard"/>
    <w:autoRedefine/>
    <w:uiPriority w:val="39"/>
    <w:unhideWhenUsed/>
    <w:rsid w:val="00701E44"/>
    <w:pPr>
      <w:tabs>
        <w:tab w:val="right" w:leader="dot" w:pos="9193"/>
      </w:tabs>
    </w:pPr>
    <w:rPr>
      <w:rFonts w:cs="Arial"/>
      <w:b/>
      <w:noProof/>
    </w:rPr>
  </w:style>
  <w:style w:type="paragraph" w:styleId="Inhopg2">
    <w:name w:val="toc 2"/>
    <w:basedOn w:val="Standaard"/>
    <w:next w:val="Standaard"/>
    <w:autoRedefine/>
    <w:uiPriority w:val="39"/>
    <w:unhideWhenUsed/>
    <w:rsid w:val="009C32B8"/>
    <w:pPr>
      <w:ind w:left="240"/>
    </w:pPr>
  </w:style>
  <w:style w:type="paragraph" w:styleId="Inhopg3">
    <w:name w:val="toc 3"/>
    <w:basedOn w:val="Standaard"/>
    <w:next w:val="Standaard"/>
    <w:autoRedefine/>
    <w:uiPriority w:val="39"/>
    <w:unhideWhenUsed/>
    <w:rsid w:val="00701E44"/>
    <w:pPr>
      <w:ind w:left="480"/>
    </w:pPr>
  </w:style>
  <w:style w:type="paragraph" w:styleId="Voettekst">
    <w:name w:val="footer"/>
    <w:basedOn w:val="Standaard"/>
    <w:link w:val="VoettekstChar"/>
    <w:uiPriority w:val="99"/>
    <w:unhideWhenUsed/>
    <w:rsid w:val="00701E44"/>
    <w:pPr>
      <w:tabs>
        <w:tab w:val="center" w:pos="4536"/>
        <w:tab w:val="right" w:pos="9072"/>
      </w:tabs>
    </w:pPr>
  </w:style>
  <w:style w:type="character" w:customStyle="1" w:styleId="VoettekstChar">
    <w:name w:val="Voettekst Char"/>
    <w:link w:val="Voettekst"/>
    <w:uiPriority w:val="99"/>
    <w:rsid w:val="00701E44"/>
    <w:rPr>
      <w:sz w:val="24"/>
      <w:szCs w:val="24"/>
      <w:lang w:val="nl-NL" w:eastAsia="nl-NL"/>
    </w:rPr>
  </w:style>
  <w:style w:type="paragraph" w:styleId="Ballontekst">
    <w:name w:val="Balloon Text"/>
    <w:basedOn w:val="Standaard"/>
    <w:link w:val="BallontekstChar"/>
    <w:uiPriority w:val="99"/>
    <w:semiHidden/>
    <w:unhideWhenUsed/>
    <w:rsid w:val="00701E44"/>
    <w:rPr>
      <w:rFonts w:ascii="Tahoma" w:hAnsi="Tahoma" w:cs="Tahoma"/>
      <w:sz w:val="16"/>
      <w:szCs w:val="16"/>
    </w:rPr>
  </w:style>
  <w:style w:type="character" w:customStyle="1" w:styleId="BallontekstChar">
    <w:name w:val="Ballontekst Char"/>
    <w:link w:val="Ballontekst"/>
    <w:uiPriority w:val="99"/>
    <w:semiHidden/>
    <w:rsid w:val="00701E44"/>
    <w:rPr>
      <w:rFonts w:ascii="Tahoma" w:hAnsi="Tahoma" w:cs="Tahoma"/>
      <w:sz w:val="16"/>
      <w:szCs w:val="16"/>
      <w:lang w:val="nl-NL" w:eastAsia="nl-NL"/>
    </w:rPr>
  </w:style>
  <w:style w:type="character" w:styleId="Tekstvantijdelijkeaanduiding">
    <w:name w:val="Placeholder Text"/>
    <w:uiPriority w:val="99"/>
    <w:semiHidden/>
    <w:rsid w:val="00701E44"/>
    <w:rPr>
      <w:color w:val="808080"/>
    </w:rPr>
  </w:style>
  <w:style w:type="character" w:customStyle="1" w:styleId="Kop2Char">
    <w:name w:val="Kop 2 Char"/>
    <w:link w:val="Kop2"/>
    <w:rsid w:val="00437EE2"/>
    <w:rPr>
      <w:rFonts w:ascii="Arial" w:hAnsi="Arial"/>
      <w:b/>
      <w:bCs/>
      <w:sz w:val="24"/>
      <w:szCs w:val="24"/>
      <w:lang w:val="fr-FR" w:eastAsia="nl-NL"/>
    </w:rPr>
  </w:style>
  <w:style w:type="character" w:customStyle="1" w:styleId="Kop1Char">
    <w:name w:val="Kop 1 Char"/>
    <w:link w:val="Kop1"/>
    <w:rsid w:val="00A6188D"/>
    <w:rPr>
      <w:rFonts w:ascii="Arial" w:hAnsi="Arial"/>
      <w:b/>
      <w:bCs/>
      <w:sz w:val="24"/>
      <w:szCs w:val="24"/>
      <w:u w:val="single"/>
      <w:lang w:val="fr-FR" w:eastAsia="nl-NL"/>
    </w:rPr>
  </w:style>
  <w:style w:type="paragraph" w:customStyle="1" w:styleId="Default">
    <w:name w:val="Default"/>
    <w:rsid w:val="00CB44E4"/>
    <w:pPr>
      <w:autoSpaceDE w:val="0"/>
      <w:autoSpaceDN w:val="0"/>
      <w:adjustRightInd w:val="0"/>
    </w:pPr>
    <w:rPr>
      <w:rFonts w:ascii="Arial" w:eastAsia="Calibri" w:hAnsi="Arial" w:cs="Arial"/>
      <w:color w:val="000000"/>
      <w:sz w:val="24"/>
      <w:szCs w:val="24"/>
      <w:lang w:eastAsia="en-US"/>
    </w:rPr>
  </w:style>
  <w:style w:type="paragraph" w:styleId="Normaalweb">
    <w:name w:val="Normal (Web)"/>
    <w:basedOn w:val="Standaard"/>
    <w:uiPriority w:val="99"/>
    <w:semiHidden/>
    <w:unhideWhenUsed/>
    <w:rsid w:val="00214321"/>
    <w:pPr>
      <w:spacing w:before="100" w:beforeAutospacing="1" w:after="100" w:afterAutospacing="1"/>
    </w:pPr>
    <w:rPr>
      <w:rFonts w:ascii="Times New Roman" w:hAnsi="Times New Roman"/>
      <w:lang w:val="nl-BE" w:eastAsia="nl-BE"/>
    </w:rPr>
  </w:style>
  <w:style w:type="paragraph" w:customStyle="1" w:styleId="Fiches-Corps">
    <w:name w:val="Fiches-Corps"/>
    <w:autoRedefine/>
    <w:qFormat/>
    <w:rsid w:val="00AC4DDB"/>
    <w:rPr>
      <w:rFonts w:ascii="Arial" w:eastAsiaTheme="minorHAnsi" w:hAnsi="Arial" w:cstheme="minorBidi"/>
      <w:sz w:val="24"/>
      <w:szCs w:val="22"/>
      <w:lang w:val="fr-BE" w:eastAsia="en-US"/>
    </w:rPr>
  </w:style>
  <w:style w:type="paragraph" w:customStyle="1" w:styleId="Fiches-TitreCCT">
    <w:name w:val="Fiches-Titre CCT"/>
    <w:basedOn w:val="Fiches-Corps"/>
    <w:next w:val="Fiches-Corps"/>
    <w:qFormat/>
    <w:rsid w:val="001376B3"/>
  </w:style>
  <w:style w:type="paragraph" w:customStyle="1" w:styleId="Fiches-DateCCTetn">
    <w:name w:val="Fiches - Date CCT et n°"/>
    <w:basedOn w:val="Fiches-TitreCCT"/>
    <w:next w:val="Fiches-TitreCCT"/>
    <w:qFormat/>
    <w:rsid w:val="001376B3"/>
    <w:rPr>
      <w:b/>
    </w:rPr>
  </w:style>
  <w:style w:type="paragraph" w:customStyle="1" w:styleId="Fiches-Titre2">
    <w:name w:val="Fiches-Titre 2"/>
    <w:basedOn w:val="Fiches-DateCCTetn"/>
    <w:next w:val="Fiches-DateCCTetn"/>
    <w:qFormat/>
    <w:rsid w:val="001376B3"/>
    <w:rPr>
      <w:u w:val="single"/>
    </w:rPr>
  </w:style>
  <w:style w:type="paragraph" w:customStyle="1" w:styleId="Fiches-Titre1">
    <w:name w:val="Fiches-Titre1"/>
    <w:basedOn w:val="Fiches-Titre2"/>
    <w:next w:val="Fiches-Titre2"/>
    <w:qFormat/>
    <w:rsid w:val="001376B3"/>
    <w:pPr>
      <w:jc w:val="center"/>
    </w:pPr>
    <w:rPr>
      <w:b w:val="0"/>
      <w:u w:val="none"/>
    </w:rPr>
  </w:style>
  <w:style w:type="paragraph" w:customStyle="1" w:styleId="Fiches-Validit">
    <w:name w:val="Fiches-Validité"/>
    <w:basedOn w:val="Fiches-Corps"/>
    <w:next w:val="Fiches-Corps"/>
    <w:qFormat/>
    <w:rsid w:val="001376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6370">
      <w:bodyDiv w:val="1"/>
      <w:marLeft w:val="0"/>
      <w:marRight w:val="0"/>
      <w:marTop w:val="0"/>
      <w:marBottom w:val="0"/>
      <w:divBdr>
        <w:top w:val="none" w:sz="0" w:space="0" w:color="auto"/>
        <w:left w:val="none" w:sz="0" w:space="0" w:color="auto"/>
        <w:bottom w:val="none" w:sz="0" w:space="0" w:color="auto"/>
        <w:right w:val="none" w:sz="0" w:space="0" w:color="auto"/>
      </w:divBdr>
    </w:div>
    <w:div w:id="857280592">
      <w:bodyDiv w:val="1"/>
      <w:marLeft w:val="0"/>
      <w:marRight w:val="0"/>
      <w:marTop w:val="0"/>
      <w:marBottom w:val="0"/>
      <w:divBdr>
        <w:top w:val="none" w:sz="0" w:space="0" w:color="auto"/>
        <w:left w:val="none" w:sz="0" w:space="0" w:color="auto"/>
        <w:bottom w:val="none" w:sz="0" w:space="0" w:color="auto"/>
        <w:right w:val="none" w:sz="0" w:space="0" w:color="auto"/>
      </w:divBdr>
    </w:div>
    <w:div w:id="1307121753">
      <w:bodyDiv w:val="1"/>
      <w:marLeft w:val="0"/>
      <w:marRight w:val="0"/>
      <w:marTop w:val="0"/>
      <w:marBottom w:val="0"/>
      <w:divBdr>
        <w:top w:val="none" w:sz="0" w:space="0" w:color="auto"/>
        <w:left w:val="none" w:sz="0" w:space="0" w:color="auto"/>
        <w:bottom w:val="none" w:sz="0" w:space="0" w:color="auto"/>
        <w:right w:val="none" w:sz="0" w:space="0" w:color="auto"/>
      </w:divBdr>
    </w:div>
    <w:div w:id="1438526726">
      <w:bodyDiv w:val="1"/>
      <w:marLeft w:val="0"/>
      <w:marRight w:val="0"/>
      <w:marTop w:val="0"/>
      <w:marBottom w:val="0"/>
      <w:divBdr>
        <w:top w:val="none" w:sz="0" w:space="0" w:color="auto"/>
        <w:left w:val="none" w:sz="0" w:space="0" w:color="auto"/>
        <w:bottom w:val="none" w:sz="0" w:space="0" w:color="auto"/>
        <w:right w:val="none" w:sz="0" w:space="0" w:color="auto"/>
      </w:divBdr>
    </w:div>
    <w:div w:id="1586500072">
      <w:bodyDiv w:val="1"/>
      <w:marLeft w:val="0"/>
      <w:marRight w:val="0"/>
      <w:marTop w:val="0"/>
      <w:marBottom w:val="0"/>
      <w:divBdr>
        <w:top w:val="none" w:sz="0" w:space="0" w:color="auto"/>
        <w:left w:val="none" w:sz="0" w:space="0" w:color="auto"/>
        <w:bottom w:val="none" w:sz="0" w:space="0" w:color="auto"/>
        <w:right w:val="none" w:sz="0" w:space="0" w:color="auto"/>
      </w:divBdr>
    </w:div>
    <w:div w:id="19519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mploi.belgique.be/searchCAO.aspx?id=470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énéral"/>
          <w:gallery w:val="placeholder"/>
        </w:category>
        <w:types>
          <w:type w:val="bbPlcHdr"/>
        </w:types>
        <w:behaviors>
          <w:behavior w:val="content"/>
        </w:behaviors>
        <w:guid w:val="{D1A02170-422D-431D-B500-DD6D94DC7C48}"/>
      </w:docPartPr>
      <w:docPartBody>
        <w:p w:rsidR="005547F7" w:rsidRDefault="00673A0A">
          <w:r w:rsidRPr="00A61C96">
            <w:rPr>
              <w:rStyle w:val="Tekstvantijdelijkeaanduiding"/>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0A"/>
    <w:rsid w:val="001E36F9"/>
    <w:rsid w:val="00224CB2"/>
    <w:rsid w:val="00301296"/>
    <w:rsid w:val="0045290C"/>
    <w:rsid w:val="00467DCC"/>
    <w:rsid w:val="005547F7"/>
    <w:rsid w:val="005C2202"/>
    <w:rsid w:val="006016AC"/>
    <w:rsid w:val="00673A0A"/>
    <w:rsid w:val="007237BD"/>
    <w:rsid w:val="007D3513"/>
    <w:rsid w:val="008D4926"/>
    <w:rsid w:val="0090551D"/>
    <w:rsid w:val="00AE1E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673A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12E9BC-825F-47A4-AE3C-A5E1E0DD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7552</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Model fiche collectief arbeidsrecht ikv LIMOSA</vt:lpstr>
      <vt:lpstr>Model fiche collectief arbeidsrecht ikv LIMOSA</vt:lpstr>
    </vt:vector>
  </TitlesOfParts>
  <Company>FOD Werkgelegenheid, Arbeid en Sociaal Overleg</Company>
  <LinksUpToDate>false</LinksUpToDate>
  <CharactersWithSpaces>8884</CharactersWithSpaces>
  <SharedDoc>false</SharedDoc>
  <HLinks>
    <vt:vector size="48" baseType="variant">
      <vt:variant>
        <vt:i4>7536765</vt:i4>
      </vt:variant>
      <vt:variant>
        <vt:i4>42</vt:i4>
      </vt:variant>
      <vt:variant>
        <vt:i4>0</vt:i4>
      </vt:variant>
      <vt:variant>
        <vt:i4>5</vt:i4>
      </vt:variant>
      <vt:variant>
        <vt:lpwstr>\\eta.local\public\T\CAO_CCT\pdf\pk\111\111-2014-004736.pdf</vt:lpwstr>
      </vt:variant>
      <vt:variant>
        <vt:lpwstr/>
      </vt:variant>
      <vt:variant>
        <vt:i4>4456530</vt:i4>
      </vt:variant>
      <vt:variant>
        <vt:i4>39</vt:i4>
      </vt:variant>
      <vt:variant>
        <vt:i4>0</vt:i4>
      </vt:variant>
      <vt:variant>
        <vt:i4>5</vt:i4>
      </vt:variant>
      <vt:variant>
        <vt:lpwstr>http://www.emploi.belgique.be/searchCAO.aspx?id=4708</vt:lpwstr>
      </vt:variant>
      <vt:variant>
        <vt:lpwstr/>
      </vt:variant>
      <vt:variant>
        <vt:i4>1376310</vt:i4>
      </vt:variant>
      <vt:variant>
        <vt:i4>32</vt:i4>
      </vt:variant>
      <vt:variant>
        <vt:i4>0</vt:i4>
      </vt:variant>
      <vt:variant>
        <vt:i4>5</vt:i4>
      </vt:variant>
      <vt:variant>
        <vt:lpwstr/>
      </vt:variant>
      <vt:variant>
        <vt:lpwstr>_Toc402275751</vt:lpwstr>
      </vt:variant>
      <vt:variant>
        <vt:i4>1376310</vt:i4>
      </vt:variant>
      <vt:variant>
        <vt:i4>26</vt:i4>
      </vt:variant>
      <vt:variant>
        <vt:i4>0</vt:i4>
      </vt:variant>
      <vt:variant>
        <vt:i4>5</vt:i4>
      </vt:variant>
      <vt:variant>
        <vt:lpwstr/>
      </vt:variant>
      <vt:variant>
        <vt:lpwstr>_Toc402275750</vt:lpwstr>
      </vt:variant>
      <vt:variant>
        <vt:i4>1310774</vt:i4>
      </vt:variant>
      <vt:variant>
        <vt:i4>20</vt:i4>
      </vt:variant>
      <vt:variant>
        <vt:i4>0</vt:i4>
      </vt:variant>
      <vt:variant>
        <vt:i4>5</vt:i4>
      </vt:variant>
      <vt:variant>
        <vt:lpwstr/>
      </vt:variant>
      <vt:variant>
        <vt:lpwstr>_Toc402275749</vt:lpwstr>
      </vt:variant>
      <vt:variant>
        <vt:i4>1310774</vt:i4>
      </vt:variant>
      <vt:variant>
        <vt:i4>14</vt:i4>
      </vt:variant>
      <vt:variant>
        <vt:i4>0</vt:i4>
      </vt:variant>
      <vt:variant>
        <vt:i4>5</vt:i4>
      </vt:variant>
      <vt:variant>
        <vt:lpwstr/>
      </vt:variant>
      <vt:variant>
        <vt:lpwstr>_Toc402275748</vt:lpwstr>
      </vt:variant>
      <vt:variant>
        <vt:i4>1310774</vt:i4>
      </vt:variant>
      <vt:variant>
        <vt:i4>8</vt:i4>
      </vt:variant>
      <vt:variant>
        <vt:i4>0</vt:i4>
      </vt:variant>
      <vt:variant>
        <vt:i4>5</vt:i4>
      </vt:variant>
      <vt:variant>
        <vt:lpwstr/>
      </vt:variant>
      <vt:variant>
        <vt:lpwstr>_Toc402275747</vt:lpwstr>
      </vt:variant>
      <vt:variant>
        <vt:i4>1310774</vt:i4>
      </vt:variant>
      <vt:variant>
        <vt:i4>2</vt:i4>
      </vt:variant>
      <vt:variant>
        <vt:i4>0</vt:i4>
      </vt:variant>
      <vt:variant>
        <vt:i4>5</vt:i4>
      </vt:variant>
      <vt:variant>
        <vt:lpwstr/>
      </vt:variant>
      <vt:variant>
        <vt:lpwstr>_Toc402275746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fiche collectief arbeidsrecht ikv LIMOSA</dc:title>
  <dc:creator>SCHOTTER</dc:creator>
  <cp:lastModifiedBy>Veerle Paenhuys (FOD Werkgelegenheid - SPF Emploi)</cp:lastModifiedBy>
  <cp:revision>2</cp:revision>
  <cp:lastPrinted>2008-07-23T11:34:00Z</cp:lastPrinted>
  <dcterms:created xsi:type="dcterms:W3CDTF">2019-11-26T09:02:00Z</dcterms:created>
  <dcterms:modified xsi:type="dcterms:W3CDTF">2019-11-26T09:02:00Z</dcterms:modified>
</cp:coreProperties>
</file>